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10800"/>
      </w:tblGrid>
      <w:tr w:rsidR="00EF7A15" w:rsidRPr="001F54A4" w14:paraId="10C17934" w14:textId="77777777" w:rsidTr="000F2274">
        <w:trPr>
          <w:cantSplit/>
          <w:trHeight w:val="720"/>
          <w:jc w:val="center"/>
        </w:trPr>
        <w:tc>
          <w:tcPr>
            <w:tcW w:w="10800" w:type="dxa"/>
          </w:tcPr>
          <w:p w14:paraId="10C1791C" w14:textId="77777777" w:rsidR="00EF7A15" w:rsidRDefault="008401D1" w:rsidP="00CC4F66">
            <w:pPr>
              <w:ind w:firstLine="3240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0C17BAA" wp14:editId="10C17BAB">
                  <wp:extent cx="2917371" cy="638175"/>
                  <wp:effectExtent l="0" t="0" r="0" b="0"/>
                  <wp:docPr id="2" name="Picture 2" descr="km%20clr%20bl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m%20clr%20bl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37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1791D" w14:textId="77777777" w:rsidR="00CC4F66" w:rsidRPr="00CC4F66" w:rsidRDefault="00CC4F66" w:rsidP="00CC4F66">
            <w:pPr>
              <w:ind w:firstLine="3240"/>
              <w:rPr>
                <w:rFonts w:ascii="Arial" w:hAnsi="Arial" w:cs="Arial"/>
                <w:bCs/>
                <w:sz w:val="12"/>
              </w:rPr>
            </w:pPr>
          </w:p>
          <w:p w14:paraId="10C1791E" w14:textId="77777777" w:rsidR="00EF7A15" w:rsidRPr="00AB580E" w:rsidRDefault="00EF7A15" w:rsidP="00CC4F6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B580E">
              <w:rPr>
                <w:rFonts w:ascii="Arial" w:hAnsi="Arial" w:cs="Arial"/>
                <w:b/>
                <w:bCs/>
                <w:i/>
              </w:rPr>
              <w:t>Project Manager’s Project OQ Covered Task Checklist (DOT 19</w:t>
            </w:r>
            <w:r w:rsidR="00B4433A" w:rsidRPr="00AB580E">
              <w:rPr>
                <w:rFonts w:ascii="Arial" w:hAnsi="Arial" w:cs="Arial"/>
                <w:b/>
                <w:bCs/>
                <w:i/>
              </w:rPr>
              <w:t>5</w:t>
            </w:r>
            <w:r w:rsidRPr="00AB580E">
              <w:rPr>
                <w:rFonts w:ascii="Arial" w:hAnsi="Arial" w:cs="Arial"/>
                <w:b/>
                <w:bCs/>
                <w:i/>
              </w:rPr>
              <w:t xml:space="preserve"> – </w:t>
            </w:r>
            <w:r w:rsidR="00B4433A" w:rsidRPr="00AB580E">
              <w:rPr>
                <w:rFonts w:ascii="Arial" w:hAnsi="Arial" w:cs="Arial"/>
                <w:b/>
                <w:bCs/>
                <w:i/>
              </w:rPr>
              <w:t>Liquids</w:t>
            </w:r>
            <w:r w:rsidRPr="00AB580E">
              <w:rPr>
                <w:rFonts w:ascii="Arial" w:hAnsi="Arial" w:cs="Arial"/>
                <w:b/>
                <w:bCs/>
                <w:i/>
              </w:rPr>
              <w:t>)</w:t>
            </w:r>
          </w:p>
          <w:p w14:paraId="10C1791F" w14:textId="77777777" w:rsidR="00EF7A15" w:rsidRDefault="00EF7A15" w:rsidP="00CC4F6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B580E">
              <w:rPr>
                <w:rFonts w:ascii="Arial" w:hAnsi="Arial" w:cs="Arial"/>
                <w:b/>
                <w:bCs/>
                <w:i/>
              </w:rPr>
              <w:t xml:space="preserve">KM Operator Qualification Plan, Appendix E, Attachment </w:t>
            </w:r>
            <w:r w:rsidR="00B4433A" w:rsidRPr="00AB580E">
              <w:rPr>
                <w:rFonts w:ascii="Arial" w:hAnsi="Arial" w:cs="Arial"/>
                <w:b/>
                <w:bCs/>
                <w:i/>
              </w:rPr>
              <w:t>2</w:t>
            </w:r>
          </w:p>
          <w:p w14:paraId="7888968C" w14:textId="01B5CB9C" w:rsidR="00450C07" w:rsidRPr="00450C07" w:rsidRDefault="0012795C" w:rsidP="00CC4F66">
            <w:pPr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Revised </w:t>
            </w:r>
            <w:r w:rsidR="001D0109">
              <w:rPr>
                <w:rFonts w:ascii="Arial" w:hAnsi="Arial" w:cs="Arial"/>
                <w:bCs/>
                <w:i/>
                <w:sz w:val="20"/>
              </w:rPr>
              <w:t>1</w:t>
            </w:r>
            <w:r w:rsidR="007441F6">
              <w:rPr>
                <w:rFonts w:ascii="Arial" w:hAnsi="Arial" w:cs="Arial"/>
                <w:bCs/>
                <w:i/>
                <w:sz w:val="20"/>
              </w:rPr>
              <w:t>/</w:t>
            </w:r>
            <w:r w:rsidR="001D0109">
              <w:rPr>
                <w:rFonts w:ascii="Arial" w:hAnsi="Arial" w:cs="Arial"/>
                <w:bCs/>
                <w:i/>
                <w:sz w:val="20"/>
              </w:rPr>
              <w:t>13</w:t>
            </w:r>
            <w:r w:rsidR="007441F6">
              <w:rPr>
                <w:rFonts w:ascii="Arial" w:hAnsi="Arial" w:cs="Arial"/>
                <w:bCs/>
                <w:i/>
                <w:sz w:val="20"/>
              </w:rPr>
              <w:t>/202</w:t>
            </w:r>
            <w:r w:rsidR="001D0109">
              <w:rPr>
                <w:rFonts w:ascii="Arial" w:hAnsi="Arial" w:cs="Arial"/>
                <w:bCs/>
                <w:i/>
                <w:sz w:val="20"/>
              </w:rPr>
              <w:t>5</w:t>
            </w:r>
          </w:p>
          <w:p w14:paraId="10C17921" w14:textId="77777777" w:rsidR="008401D1" w:rsidRDefault="008401D1" w:rsidP="000F2274">
            <w:pPr>
              <w:spacing w:after="135"/>
              <w:rPr>
                <w:rFonts w:ascii="Arial" w:hAnsi="Arial" w:cs="Arial"/>
                <w:bCs/>
              </w:rPr>
            </w:pPr>
          </w:p>
          <w:tbl>
            <w:tblPr>
              <w:tblW w:w="107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0"/>
              <w:gridCol w:w="1440"/>
              <w:gridCol w:w="2070"/>
              <w:gridCol w:w="3150"/>
            </w:tblGrid>
            <w:tr w:rsidR="00F4517B" w:rsidRPr="002B4B51" w14:paraId="10C17928" w14:textId="77777777" w:rsidTr="00F4517B">
              <w:trPr>
                <w:cantSplit/>
                <w:trHeight w:val="360"/>
                <w:jc w:val="center"/>
              </w:trPr>
              <w:tc>
                <w:tcPr>
                  <w:tcW w:w="4050" w:type="dxa"/>
                  <w:vMerge w:val="restart"/>
                </w:tcPr>
                <w:p w14:paraId="10C17922" w14:textId="77777777" w:rsidR="00F4517B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B4B5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Project Name</w:t>
                  </w:r>
                </w:p>
                <w:p w14:paraId="10C17923" w14:textId="77777777" w:rsidR="00F4517B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14:paraId="10C17924" w14:textId="77777777" w:rsidR="00F4517B" w:rsidRPr="002B4B51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instrText xml:space="preserve"> FORMTEXT </w:instrTex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1440" w:type="dxa"/>
                  <w:tcBorders>
                    <w:bottom w:val="nil"/>
                  </w:tcBorders>
                </w:tcPr>
                <w:p w14:paraId="10C17925" w14:textId="77777777" w:rsidR="00F4517B" w:rsidRPr="002B4B51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B4B5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2070" w:type="dxa"/>
                  <w:tcBorders>
                    <w:bottom w:val="nil"/>
                  </w:tcBorders>
                </w:tcPr>
                <w:p w14:paraId="10C17926" w14:textId="77777777" w:rsidR="00F4517B" w:rsidRPr="002B4B51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B4B5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Project Manager</w:t>
                  </w:r>
                </w:p>
              </w:tc>
              <w:tc>
                <w:tcPr>
                  <w:tcW w:w="3150" w:type="dxa"/>
                  <w:tcBorders>
                    <w:bottom w:val="nil"/>
                  </w:tcBorders>
                </w:tcPr>
                <w:p w14:paraId="10C17927" w14:textId="77777777" w:rsidR="00F4517B" w:rsidRPr="002B4B51" w:rsidRDefault="00F4517B" w:rsidP="00CC4F6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B4B5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Contractor</w:t>
                  </w:r>
                </w:p>
              </w:tc>
            </w:tr>
            <w:tr w:rsidR="00F4517B" w:rsidRPr="001F54A4" w14:paraId="10C1792D" w14:textId="77777777" w:rsidTr="00F4517B">
              <w:trPr>
                <w:cantSplit/>
                <w:trHeight w:val="620"/>
                <w:jc w:val="center"/>
              </w:trPr>
              <w:tc>
                <w:tcPr>
                  <w:tcW w:w="4050" w:type="dxa"/>
                  <w:vMerge/>
                  <w:tcBorders>
                    <w:bottom w:val="nil"/>
                  </w:tcBorders>
                  <w:vAlign w:val="center"/>
                </w:tcPr>
                <w:p w14:paraId="10C17929" w14:textId="77777777" w:rsidR="00F4517B" w:rsidRPr="001F54A4" w:rsidRDefault="00F4517B" w:rsidP="00CC4F66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bottom w:val="nil"/>
                  </w:tcBorders>
                  <w:vAlign w:val="center"/>
                </w:tcPr>
                <w:p w14:paraId="10C1792A" w14:textId="77777777" w:rsidR="00F4517B" w:rsidRPr="001F54A4" w:rsidRDefault="00F4517B" w:rsidP="00CC4F66">
                  <w:pPr>
                    <w:rPr>
                      <w:rFonts w:ascii="Arial" w:hAnsi="Arial" w:cs="Arial"/>
                      <w:bCs/>
                    </w:rPr>
                  </w:pP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instrText xml:space="preserve"> FORMTEXT </w:instrTex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2070" w:type="dxa"/>
                  <w:tcBorders>
                    <w:top w:val="nil"/>
                    <w:bottom w:val="nil"/>
                  </w:tcBorders>
                  <w:vAlign w:val="center"/>
                </w:tcPr>
                <w:p w14:paraId="10C1792B" w14:textId="77777777" w:rsidR="00F4517B" w:rsidRPr="001F54A4" w:rsidRDefault="00F4517B" w:rsidP="00CC4F66">
                  <w:pPr>
                    <w:rPr>
                      <w:rFonts w:ascii="Arial" w:hAnsi="Arial" w:cs="Arial"/>
                      <w:bCs/>
                    </w:rPr>
                  </w:pP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instrText xml:space="preserve"> FORMTEXT </w:instrTex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3150" w:type="dxa"/>
                  <w:tcBorders>
                    <w:top w:val="nil"/>
                    <w:bottom w:val="nil"/>
                  </w:tcBorders>
                  <w:vAlign w:val="center"/>
                </w:tcPr>
                <w:p w14:paraId="10C1792C" w14:textId="77777777" w:rsidR="00F4517B" w:rsidRPr="001F54A4" w:rsidRDefault="00F4517B" w:rsidP="00CC4F66">
                  <w:pPr>
                    <w:rPr>
                      <w:rFonts w:ascii="Arial" w:hAnsi="Arial" w:cs="Arial"/>
                      <w:bCs/>
                    </w:rPr>
                  </w:pP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instrText xml:space="preserve"> FORMTEXT </w:instrTex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20"/>
                    </w:rPr>
                    <w:t> </w:t>
                  </w:r>
                  <w:r w:rsidRPr="001F54A4">
                    <w:rPr>
                      <w:rFonts w:ascii="Arial" w:hAnsi="Arial" w:cs="Arial"/>
                      <w:bCs/>
                      <w:sz w:val="20"/>
                    </w:rPr>
                    <w:fldChar w:fldCharType="end"/>
                  </w:r>
                </w:p>
              </w:tc>
            </w:tr>
            <w:tr w:rsidR="00F4517B" w:rsidRPr="001F54A4" w14:paraId="10C17932" w14:textId="77777777" w:rsidTr="00F4517B">
              <w:trPr>
                <w:cantSplit/>
                <w:trHeight w:val="720"/>
                <w:jc w:val="center"/>
              </w:trPr>
              <w:tc>
                <w:tcPr>
                  <w:tcW w:w="10710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C1792E" w14:textId="77777777" w:rsidR="00F4517B" w:rsidRDefault="00F4517B" w:rsidP="00CC4F6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before="60" w:line="276" w:lineRule="auto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71E65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OQ Covered Tasks on this project?:   </w:t>
                  </w:r>
                  <w:r w:rsidRPr="00B71E65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1E65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8C535A">
                    <w:rPr>
                      <w:rFonts w:ascii="Arial" w:hAnsi="Arial" w:cs="Arial"/>
                      <w:sz w:val="20"/>
                    </w:rPr>
                  </w:r>
                  <w:r w:rsidR="008C535A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71E65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 xml:space="preserve">Yes    </w:t>
                  </w:r>
                  <w:r w:rsidRPr="00B71E65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1E65">
                    <w:rPr>
                      <w:rFonts w:ascii="Arial" w:hAnsi="Arial" w:cs="Arial"/>
                      <w:sz w:val="20"/>
                    </w:rPr>
                    <w:instrText xml:space="preserve"> FORMCHECKBOX </w:instrText>
                  </w:r>
                  <w:r w:rsidR="008C535A">
                    <w:rPr>
                      <w:rFonts w:ascii="Arial" w:hAnsi="Arial" w:cs="Arial"/>
                      <w:sz w:val="20"/>
                    </w:rPr>
                  </w:r>
                  <w:r w:rsidR="008C535A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B71E65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 xml:space="preserve"> No    If </w:t>
                  </w:r>
                  <w:r w:rsidRPr="005F7BDF">
                    <w:rPr>
                      <w:rFonts w:ascii="Arial" w:hAnsi="Arial" w:cs="Arial"/>
                      <w:b/>
                      <w:bCs/>
                      <w:sz w:val="20"/>
                    </w:rPr>
                    <w:t>yes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 xml:space="preserve">, complete remainder of form to accompany bid process and attach to final contract.  If </w:t>
                  </w:r>
                  <w:r w:rsidRPr="005F7BDF">
                    <w:rPr>
                      <w:rFonts w:ascii="Arial" w:hAnsi="Arial" w:cs="Arial"/>
                      <w:b/>
                      <w:bCs/>
                      <w:sz w:val="20"/>
                    </w:rPr>
                    <w:t>no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 xml:space="preserve">,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print only the </w:t>
                  </w:r>
                  <w:r w:rsidRPr="005F7BDF">
                    <w:rPr>
                      <w:rFonts w:ascii="Arial" w:hAnsi="Arial" w:cs="Arial"/>
                      <w:b/>
                      <w:bCs/>
                      <w:sz w:val="20"/>
                    </w:rPr>
                    <w:t>1</w:t>
                  </w:r>
                  <w:r w:rsidRPr="005F7BDF">
                    <w:rPr>
                      <w:rFonts w:ascii="Arial" w:hAnsi="Arial" w:cs="Arial"/>
                      <w:b/>
                      <w:bCs/>
                      <w:sz w:val="20"/>
                      <w:vertAlign w:val="superscript"/>
                    </w:rPr>
                    <w:t>st</w:t>
                  </w:r>
                  <w:r w:rsidRPr="005F7BDF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page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 and 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>file with final contract</w:t>
                  </w:r>
                  <w:r w:rsidRPr="00A77C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</w:t>
                  </w:r>
                </w:p>
                <w:p w14:paraId="10C1792F" w14:textId="77777777" w:rsidR="00275E35" w:rsidRPr="00B71E65" w:rsidRDefault="00275E35" w:rsidP="00CC4F66">
                  <w:pPr>
                    <w:spacing w:before="60" w:line="276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B71E65">
                    <w:rPr>
                      <w:rFonts w:ascii="Arial" w:hAnsi="Arial" w:cs="Arial"/>
                      <w:b/>
                      <w:bCs/>
                      <w:sz w:val="20"/>
                    </w:rPr>
                    <w:t>Directions for Project Manager: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 xml:space="preserve">  Check the “To Be Performed” column for every covered task to be pe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rformed during this project by Company or C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>ontract personnel.</w:t>
                  </w:r>
                </w:p>
                <w:p w14:paraId="10C17930" w14:textId="77777777" w:rsidR="00275E35" w:rsidRPr="00B71E65" w:rsidRDefault="00275E35" w:rsidP="00CC4F66">
                  <w:pPr>
                    <w:spacing w:after="60" w:line="276" w:lineRule="auto"/>
                    <w:rPr>
                      <w:rFonts w:ascii="Arial" w:hAnsi="Arial" w:cs="Arial"/>
                      <w:bCs/>
                      <w:sz w:val="20"/>
                    </w:rPr>
                  </w:pPr>
                  <w:r w:rsidRPr="00B71E65">
                    <w:rPr>
                      <w:rFonts w:ascii="Arial" w:hAnsi="Arial" w:cs="Arial"/>
                      <w:b/>
                      <w:bCs/>
                      <w:sz w:val="20"/>
                    </w:rPr>
                    <w:t>Directions for Contractor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>: For each covered task with a check in the “To Be Performed by Contractor” column, check the box in the fourth column if OQ qualified personnel will be available when the task(s) must be performed.</w:t>
                  </w:r>
                </w:p>
                <w:p w14:paraId="10C17931" w14:textId="77777777" w:rsidR="00F4517B" w:rsidRPr="001F54A4" w:rsidRDefault="00275E35" w:rsidP="00CC4F66">
                  <w:pPr>
                    <w:spacing w:after="60" w:line="276" w:lineRule="auto"/>
                    <w:rPr>
                      <w:rFonts w:ascii="Arial" w:hAnsi="Arial" w:cs="Arial"/>
                      <w:bCs/>
                    </w:rPr>
                  </w:pPr>
                  <w:r w:rsidRPr="00B71E65">
                    <w:rPr>
                      <w:rFonts w:ascii="Arial" w:hAnsi="Arial" w:cs="Arial"/>
                      <w:b/>
                      <w:bCs/>
                      <w:sz w:val="20"/>
                    </w:rPr>
                    <w:t>Span of Control</w:t>
                  </w:r>
                  <w:r w:rsidRPr="00B71E65">
                    <w:rPr>
                      <w:rFonts w:ascii="Arial" w:hAnsi="Arial" w:cs="Arial"/>
                      <w:bCs/>
                      <w:sz w:val="20"/>
                    </w:rPr>
                    <w:t>: This column identifies the span of control for directing and observing non-qualified workers on each covered task. It is expressed in the form of a ratio. For example, 1:1 span of control means that 1 OQ qualified employee can direct and observe only 1 unqualified worker performing that specific task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.</w:t>
                  </w:r>
                </w:p>
              </w:tc>
            </w:tr>
          </w:tbl>
          <w:p w14:paraId="10C17933" w14:textId="77777777" w:rsidR="00F4517B" w:rsidRPr="008401D1" w:rsidRDefault="00F4517B" w:rsidP="00CC4F66">
            <w:pPr>
              <w:rPr>
                <w:rFonts w:ascii="Arial" w:hAnsi="Arial" w:cs="Arial"/>
                <w:bCs/>
              </w:rPr>
            </w:pPr>
          </w:p>
        </w:tc>
      </w:tr>
    </w:tbl>
    <w:p w14:paraId="10C17935" w14:textId="77777777" w:rsidR="00D225C0" w:rsidRPr="00B71E65" w:rsidRDefault="00D225C0">
      <w:pPr>
        <w:rPr>
          <w:rFonts w:ascii="Arial" w:hAnsi="Arial" w:cs="Arial"/>
          <w:sz w:val="20"/>
        </w:rPr>
      </w:pP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5130"/>
        <w:gridCol w:w="971"/>
        <w:gridCol w:w="1282"/>
        <w:gridCol w:w="1245"/>
        <w:gridCol w:w="1229"/>
      </w:tblGrid>
      <w:tr w:rsidR="008104FE" w:rsidRPr="00B71E65" w14:paraId="10C1793B" w14:textId="77777777" w:rsidTr="00AC7080">
        <w:trPr>
          <w:trHeight w:val="1016"/>
          <w:tblHeader/>
          <w:jc w:val="center"/>
        </w:trPr>
        <w:tc>
          <w:tcPr>
            <w:tcW w:w="5987" w:type="dxa"/>
            <w:gridSpan w:val="2"/>
            <w:tcBorders>
              <w:bottom w:val="single" w:sz="4" w:space="0" w:color="auto"/>
            </w:tcBorders>
            <w:vAlign w:val="center"/>
          </w:tcPr>
          <w:p w14:paraId="10C17936" w14:textId="77777777" w:rsidR="003267A1" w:rsidRPr="008104FE" w:rsidRDefault="003267A1" w:rsidP="00C5655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4FE">
              <w:rPr>
                <w:rFonts w:ascii="Arial" w:hAnsi="Arial" w:cs="Arial"/>
                <w:b/>
                <w:bCs/>
                <w:sz w:val="20"/>
              </w:rPr>
              <w:t>KMI Covered Task</w:t>
            </w:r>
          </w:p>
        </w:tc>
        <w:tc>
          <w:tcPr>
            <w:tcW w:w="971" w:type="dxa"/>
            <w:vAlign w:val="center"/>
          </w:tcPr>
          <w:p w14:paraId="10C17937" w14:textId="77777777" w:rsidR="003267A1" w:rsidRPr="008104FE" w:rsidRDefault="003267A1" w:rsidP="00AB580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4FE">
              <w:rPr>
                <w:rFonts w:ascii="Arial" w:hAnsi="Arial" w:cs="Arial"/>
                <w:b/>
                <w:bCs/>
                <w:sz w:val="20"/>
              </w:rPr>
              <w:t>Span of Control</w:t>
            </w:r>
          </w:p>
        </w:tc>
        <w:tc>
          <w:tcPr>
            <w:tcW w:w="1282" w:type="dxa"/>
            <w:vAlign w:val="center"/>
          </w:tcPr>
          <w:p w14:paraId="10C17938" w14:textId="77777777" w:rsidR="003267A1" w:rsidRPr="008104FE" w:rsidRDefault="003267A1" w:rsidP="00AB580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4FE">
              <w:rPr>
                <w:rFonts w:ascii="Arial" w:hAnsi="Arial" w:cs="Arial"/>
                <w:b/>
                <w:bCs/>
                <w:sz w:val="20"/>
              </w:rPr>
              <w:t>To Be Performed by Company</w:t>
            </w:r>
          </w:p>
        </w:tc>
        <w:tc>
          <w:tcPr>
            <w:tcW w:w="1245" w:type="dxa"/>
            <w:vAlign w:val="center"/>
          </w:tcPr>
          <w:p w14:paraId="10C17939" w14:textId="77777777" w:rsidR="003267A1" w:rsidRPr="008104FE" w:rsidRDefault="003267A1" w:rsidP="00AB580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4FE">
              <w:rPr>
                <w:rFonts w:ascii="Arial" w:hAnsi="Arial" w:cs="Arial"/>
                <w:b/>
                <w:bCs/>
                <w:sz w:val="20"/>
              </w:rPr>
              <w:t>To Be Performed by Contractor</w:t>
            </w:r>
          </w:p>
        </w:tc>
        <w:tc>
          <w:tcPr>
            <w:tcW w:w="1229" w:type="dxa"/>
            <w:vAlign w:val="center"/>
          </w:tcPr>
          <w:p w14:paraId="10C1793A" w14:textId="77777777" w:rsidR="003267A1" w:rsidRPr="008104FE" w:rsidRDefault="003267A1" w:rsidP="00AB580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104FE">
              <w:rPr>
                <w:rFonts w:ascii="Arial" w:hAnsi="Arial" w:cs="Arial"/>
                <w:b/>
                <w:bCs/>
                <w:sz w:val="20"/>
              </w:rPr>
              <w:t>OQ Qualified Personnel Available</w:t>
            </w:r>
          </w:p>
        </w:tc>
      </w:tr>
      <w:tr w:rsidR="008104FE" w:rsidRPr="00B71E65" w14:paraId="10C1794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3C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101.01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3D" w14:textId="0F1F0726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AB580E">
              <w:rPr>
                <w:rFonts w:ascii="Arial" w:hAnsi="Arial" w:cs="Arial"/>
                <w:color w:val="000000"/>
                <w:sz w:val="20"/>
              </w:rPr>
              <w:t xml:space="preserve">Abnormal </w:t>
            </w:r>
            <w:r w:rsidR="00072AD5" w:rsidRPr="00AB580E">
              <w:rPr>
                <w:rFonts w:ascii="Arial" w:hAnsi="Arial" w:cs="Arial"/>
                <w:color w:val="000000"/>
                <w:sz w:val="20"/>
              </w:rPr>
              <w:t xml:space="preserve">Operating </w:t>
            </w:r>
            <w:r w:rsidRPr="00AB580E">
              <w:rPr>
                <w:rFonts w:ascii="Arial" w:hAnsi="Arial" w:cs="Arial"/>
                <w:color w:val="000000"/>
                <w:sz w:val="20"/>
              </w:rPr>
              <w:t xml:space="preserve">Conditions – Outside of Control Room </w:t>
            </w:r>
            <w:r w:rsidRPr="00AB580E">
              <w:rPr>
                <w:rFonts w:ascii="Arial" w:hAnsi="Arial" w:cs="Arial"/>
                <w:b/>
                <w:bCs/>
                <w:color w:val="000000"/>
                <w:sz w:val="20"/>
              </w:rPr>
              <w:t>(always required if other covered tasks are performed)</w:t>
            </w:r>
          </w:p>
        </w:tc>
        <w:tc>
          <w:tcPr>
            <w:tcW w:w="971" w:type="dxa"/>
            <w:vAlign w:val="center"/>
          </w:tcPr>
          <w:p w14:paraId="10C1793E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NA</w:t>
            </w:r>
          </w:p>
        </w:tc>
        <w:tc>
          <w:tcPr>
            <w:tcW w:w="1282" w:type="dxa"/>
            <w:vAlign w:val="center"/>
          </w:tcPr>
          <w:p w14:paraId="10C1793F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565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b/>
                <w:sz w:val="20"/>
              </w:rPr>
            </w:r>
            <w:r w:rsidR="008C53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1245" w:type="dxa"/>
            <w:vAlign w:val="center"/>
          </w:tcPr>
          <w:p w14:paraId="10C17940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41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bCs/>
                <w:sz w:val="20"/>
              </w:rPr>
            </w:pPr>
            <w:r w:rsidRPr="00C565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b/>
                <w:sz w:val="20"/>
              </w:rPr>
            </w:r>
            <w:r w:rsidR="008C535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8104FE" w:rsidRPr="00B71E65" w14:paraId="10C1794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43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44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Measure Structure-to-Soil Potentials</w:t>
            </w:r>
          </w:p>
        </w:tc>
        <w:tc>
          <w:tcPr>
            <w:tcW w:w="971" w:type="dxa"/>
            <w:vAlign w:val="center"/>
          </w:tcPr>
          <w:p w14:paraId="10C17945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46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47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48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5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4A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4B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Advanced Cathodic Testing</w:t>
            </w:r>
          </w:p>
        </w:tc>
        <w:tc>
          <w:tcPr>
            <w:tcW w:w="971" w:type="dxa"/>
            <w:vAlign w:val="center"/>
          </w:tcPr>
          <w:p w14:paraId="10C1794C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4D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4E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4F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5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51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52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Active Corrosion/Microbiological Corrosion (MIC) Testing</w:t>
            </w:r>
          </w:p>
        </w:tc>
        <w:tc>
          <w:tcPr>
            <w:tcW w:w="971" w:type="dxa"/>
            <w:vAlign w:val="center"/>
          </w:tcPr>
          <w:p w14:paraId="10C17953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54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55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56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5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58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59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Maintain Cathodic Test Leads (ETSs)</w:t>
            </w:r>
          </w:p>
        </w:tc>
        <w:tc>
          <w:tcPr>
            <w:tcW w:w="971" w:type="dxa"/>
            <w:vAlign w:val="center"/>
          </w:tcPr>
          <w:p w14:paraId="10C1795A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5B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5C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5D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65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5F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60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Read Rectifier</w:t>
            </w:r>
          </w:p>
        </w:tc>
        <w:tc>
          <w:tcPr>
            <w:tcW w:w="971" w:type="dxa"/>
            <w:vAlign w:val="center"/>
          </w:tcPr>
          <w:p w14:paraId="10C17961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62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63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64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6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66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67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Use of Current Interrupters on Rectifiers</w:t>
            </w:r>
          </w:p>
        </w:tc>
        <w:tc>
          <w:tcPr>
            <w:tcW w:w="971" w:type="dxa"/>
            <w:vAlign w:val="center"/>
          </w:tcPr>
          <w:p w14:paraId="10C17968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69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6A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6B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7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6D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6E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Adjust Rectifier </w:t>
            </w:r>
          </w:p>
        </w:tc>
        <w:tc>
          <w:tcPr>
            <w:tcW w:w="971" w:type="dxa"/>
            <w:vAlign w:val="center"/>
          </w:tcPr>
          <w:p w14:paraId="10C1796F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70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71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72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7A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74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75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Maintain Rectifier</w:t>
            </w:r>
          </w:p>
        </w:tc>
        <w:tc>
          <w:tcPr>
            <w:tcW w:w="971" w:type="dxa"/>
            <w:vAlign w:val="center"/>
          </w:tcPr>
          <w:p w14:paraId="10C17976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77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78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79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81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7B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7C" w14:textId="77777777" w:rsidR="00C5655E" w:rsidRPr="00C5655E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Atmospheric Corrosion – Inspection of Coatings</w:t>
            </w:r>
          </w:p>
        </w:tc>
        <w:tc>
          <w:tcPr>
            <w:tcW w:w="971" w:type="dxa"/>
            <w:vAlign w:val="center"/>
          </w:tcPr>
          <w:p w14:paraId="10C1797D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7E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7F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80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4FE" w:rsidRPr="00B71E65" w14:paraId="10C1798F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vAlign w:val="center"/>
          </w:tcPr>
          <w:p w14:paraId="10C17989" w14:textId="77777777" w:rsidR="00C5655E" w:rsidRPr="00E67D5C" w:rsidRDefault="00C5655E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102.11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0C1798A" w14:textId="67082098" w:rsidR="00C5655E" w:rsidRPr="00E67D5C" w:rsidRDefault="001D0109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1D0109">
              <w:rPr>
                <w:rFonts w:ascii="Arial" w:hAnsi="Arial" w:cs="Arial"/>
                <w:color w:val="000000"/>
                <w:sz w:val="20"/>
                <w:highlight w:val="yellow"/>
              </w:rPr>
              <w:t>Atmospheric Corrosion – Surface Preparation and Application of Coatings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C1798B" w14:textId="22B1DF50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E67D5C">
              <w:rPr>
                <w:rFonts w:ascii="Arial" w:hAnsi="Arial" w:cs="Arial"/>
                <w:sz w:val="20"/>
              </w:rPr>
              <w:t>1:</w:t>
            </w:r>
            <w:r w:rsidR="000821AD" w:rsidRPr="00E67D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0C1798C" w14:textId="77777777" w:rsidR="00C5655E" w:rsidRPr="00C5655E" w:rsidRDefault="00C5655E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10C1798D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10C1798E" w14:textId="77777777" w:rsidR="00C5655E" w:rsidRPr="00C5655E" w:rsidRDefault="00C5655E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0955E6F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shd w:val="clear" w:color="auto" w:fill="auto"/>
            <w:vAlign w:val="center"/>
          </w:tcPr>
          <w:p w14:paraId="33DB5015" w14:textId="3F8B11C3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102.12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7F9C12C3" w14:textId="1406753C" w:rsidR="00652F2A" w:rsidRPr="00C5655E" w:rsidRDefault="00652F2A" w:rsidP="005B69C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Electronic Holiday Detection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188BA94" w14:textId="06F021D3" w:rsidR="00652F2A" w:rsidRPr="00C5655E" w:rsidRDefault="00C55712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56A7D49" w14:textId="195E4C01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5511DE" w14:textId="5196710C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9B3BE7" w14:textId="137BAA0F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9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90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91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External Coatings on Buried or Submerged Components – Application and Repair</w:t>
            </w:r>
          </w:p>
        </w:tc>
        <w:tc>
          <w:tcPr>
            <w:tcW w:w="971" w:type="dxa"/>
            <w:vAlign w:val="center"/>
          </w:tcPr>
          <w:p w14:paraId="10C17992" w14:textId="59ED186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821AD">
              <w:rPr>
                <w:rFonts w:ascii="Arial" w:hAnsi="Arial" w:cs="Arial"/>
                <w:sz w:val="20"/>
              </w:rPr>
              <w:t>1:</w:t>
            </w:r>
            <w:r w:rsidR="00AC7080" w:rsidRPr="000821A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10C17993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94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95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9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97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98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Cathodic Protection Remediation</w:t>
            </w:r>
          </w:p>
        </w:tc>
        <w:tc>
          <w:tcPr>
            <w:tcW w:w="971" w:type="dxa"/>
            <w:vAlign w:val="center"/>
          </w:tcPr>
          <w:p w14:paraId="10C17999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9A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9B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9C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A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9E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lastRenderedPageBreak/>
              <w:t>102.15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9F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Internal Corrosion – Control Injection Rate</w:t>
            </w:r>
          </w:p>
        </w:tc>
        <w:tc>
          <w:tcPr>
            <w:tcW w:w="971" w:type="dxa"/>
            <w:vAlign w:val="center"/>
          </w:tcPr>
          <w:p w14:paraId="10C179A0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A1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A2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A3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AB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A5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A6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Internal Corrosion – Monitor Injection Rate</w:t>
            </w:r>
          </w:p>
        </w:tc>
        <w:tc>
          <w:tcPr>
            <w:tcW w:w="971" w:type="dxa"/>
            <w:vAlign w:val="center"/>
          </w:tcPr>
          <w:p w14:paraId="10C179A7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A8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A9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AA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B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AC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AD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Internal Corrosion – Insertion and Removal of Probes and Coupons</w:t>
            </w:r>
          </w:p>
        </w:tc>
        <w:tc>
          <w:tcPr>
            <w:tcW w:w="971" w:type="dxa"/>
            <w:vAlign w:val="center"/>
          </w:tcPr>
          <w:p w14:paraId="10C179AE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AF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B0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B1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B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B3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B4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Internal Corrosion – Monitoring Probes</w:t>
            </w:r>
          </w:p>
        </w:tc>
        <w:tc>
          <w:tcPr>
            <w:tcW w:w="971" w:type="dxa"/>
            <w:vAlign w:val="center"/>
          </w:tcPr>
          <w:p w14:paraId="10C179B5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B6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B7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B8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C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BA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102.19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BB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Internal Corrosion – Inspect Internal Pipe Surfaces</w:t>
            </w:r>
          </w:p>
        </w:tc>
        <w:tc>
          <w:tcPr>
            <w:tcW w:w="971" w:type="dxa"/>
            <w:vAlign w:val="center"/>
          </w:tcPr>
          <w:p w14:paraId="10C179BC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BD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BE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BF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C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C1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102.20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C2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Aerial Indicator on Rectifier</w:t>
            </w:r>
          </w:p>
        </w:tc>
        <w:tc>
          <w:tcPr>
            <w:tcW w:w="971" w:type="dxa"/>
            <w:vAlign w:val="center"/>
          </w:tcPr>
          <w:p w14:paraId="10C179C3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C4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C5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C6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C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C8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102.21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C9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and Perform Electrical Test of Bonds</w:t>
            </w:r>
          </w:p>
        </w:tc>
        <w:tc>
          <w:tcPr>
            <w:tcW w:w="971" w:type="dxa"/>
            <w:vAlign w:val="center"/>
          </w:tcPr>
          <w:p w14:paraId="10C179CA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CB" w14:textId="77777777" w:rsidR="00652F2A" w:rsidRPr="00C5655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CC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CD" w14:textId="77777777" w:rsidR="00652F2A" w:rsidRPr="00C5655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52F2A" w:rsidRPr="00B71E65" w14:paraId="10C179D5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vAlign w:val="center"/>
          </w:tcPr>
          <w:p w14:paraId="10C179CF" w14:textId="77777777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102.23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0C179D0" w14:textId="6BE6082A" w:rsidR="00652F2A" w:rsidRPr="00C5655E" w:rsidRDefault="00652F2A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Pr="00C5655E">
              <w:rPr>
                <w:rFonts w:ascii="Arial" w:hAnsi="Arial" w:cs="Arial"/>
                <w:color w:val="000000"/>
                <w:sz w:val="20"/>
              </w:rPr>
              <w:t>onitoring of Vapor Corrosion Inhibitor System – Tanks</w:t>
            </w:r>
            <w:r w:rsidR="007441F6">
              <w:rPr>
                <w:rFonts w:ascii="Arial" w:hAnsi="Arial" w:cs="Arial"/>
                <w:color w:val="000000"/>
                <w:sz w:val="20"/>
              </w:rPr>
              <w:t xml:space="preserve"> (KMLT)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C179D1" w14:textId="77777777" w:rsidR="00652F2A" w:rsidRPr="008104F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4F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0C179D2" w14:textId="77777777" w:rsidR="00652F2A" w:rsidRPr="008104FE" w:rsidRDefault="00652F2A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4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8104F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10C179D3" w14:textId="7F5F5E0A" w:rsidR="00652F2A" w:rsidRPr="008104FE" w:rsidRDefault="007441F6" w:rsidP="000F227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10C179D4" w14:textId="77777777" w:rsidR="00652F2A" w:rsidRPr="008104FE" w:rsidRDefault="00652F2A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8104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4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8104F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2EB5" w:rsidRPr="00B71E65" w14:paraId="55B1EA1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1BCB262" w14:textId="3CE37032" w:rsidR="00F92EB5" w:rsidRPr="00C5655E" w:rsidRDefault="00F92EB5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102.24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F1447E6" w14:textId="20FD3D96" w:rsidR="00F92EB5" w:rsidRDefault="00F92EB5" w:rsidP="00D53603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F92EB5">
              <w:rPr>
                <w:rFonts w:ascii="Arial" w:hAnsi="Arial" w:cs="Arial"/>
                <w:color w:val="000000"/>
                <w:sz w:val="20"/>
              </w:rPr>
              <w:t>Visual Inspection of Buried Pipe and Components When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92EB5">
              <w:rPr>
                <w:rFonts w:ascii="Arial" w:hAnsi="Arial" w:cs="Arial"/>
                <w:color w:val="000000"/>
                <w:sz w:val="20"/>
              </w:rPr>
              <w:t>Exposed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6817046A" w14:textId="42C8EE56" w:rsidR="00F92EB5" w:rsidRPr="008104FE" w:rsidRDefault="00924A44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4F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61149BF" w14:textId="6D3B93F8" w:rsidR="00F92EB5" w:rsidRPr="008104FE" w:rsidRDefault="00F92EB5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70470C29" w14:textId="21A86FA8" w:rsidR="00F92EB5" w:rsidRDefault="00F92EB5" w:rsidP="000F227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70AA70AF" w14:textId="55D03C59" w:rsidR="00F92EB5" w:rsidRPr="008104FE" w:rsidRDefault="00F92EB5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2EB5" w:rsidRPr="00B71E65" w14:paraId="2FA7368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412F1AC" w14:textId="7C540CDF" w:rsidR="00F92EB5" w:rsidRPr="00C5655E" w:rsidRDefault="00F92EB5" w:rsidP="008104FE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102.25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CE1E44" w14:textId="2E30758A" w:rsidR="00F92EB5" w:rsidRDefault="00F92EB5" w:rsidP="00D53603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F92EB5">
              <w:rPr>
                <w:rFonts w:ascii="Arial" w:hAnsi="Arial" w:cs="Arial"/>
                <w:color w:val="000000"/>
                <w:sz w:val="20"/>
              </w:rPr>
              <w:t>Visual Inspection of Internal Surface of Pipe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4F6BD4D1" w14:textId="316C3CF9" w:rsidR="00F92EB5" w:rsidRPr="008104FE" w:rsidRDefault="00924A44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104F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76D04604" w14:textId="186DF352" w:rsidR="00F92EB5" w:rsidRPr="008104FE" w:rsidRDefault="00F92EB5" w:rsidP="008104FE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F1AFD77" w14:textId="4D1C422B" w:rsidR="00F92EB5" w:rsidRDefault="00F92EB5" w:rsidP="000F2274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397A9B5E" w14:textId="502339FF" w:rsidR="00F92EB5" w:rsidRPr="008104FE" w:rsidRDefault="00F92EB5" w:rsidP="008104FE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70A5A46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5097DB4" w14:textId="7E29261B" w:rsidR="00AC7080" w:rsidRPr="00AC7080" w:rsidRDefault="008F28D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0821AD">
              <w:rPr>
                <w:rFonts w:ascii="Arial" w:hAnsi="Arial" w:cs="Arial"/>
                <w:color w:val="000000"/>
                <w:sz w:val="20"/>
              </w:rPr>
              <w:t>102.2</w:t>
            </w:r>
            <w:r w:rsidR="00AC7080" w:rsidRPr="000821AD">
              <w:rPr>
                <w:rFonts w:ascii="Arial" w:hAnsi="Arial" w:cs="Arial"/>
                <w:color w:val="000000"/>
                <w:sz w:val="20"/>
              </w:rPr>
              <w:t xml:space="preserve">6     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2811F8" w14:textId="2D6D8214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0821AD">
              <w:rPr>
                <w:rFonts w:ascii="Arial" w:hAnsi="Arial" w:cs="Arial"/>
                <w:color w:val="000000"/>
                <w:sz w:val="20"/>
              </w:rPr>
              <w:t>Evaluating Anomalies Using Handyscan 700 (KMLT Only)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14463E0C" w14:textId="03642D7F" w:rsidR="00AC7080" w:rsidRPr="008104F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821AD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65C71BDD" w14:textId="5CFE26D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2284CE65" w14:textId="1D2401B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14:paraId="5BEEBBC0" w14:textId="7F35B18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D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D6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D7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Navigable Waterway Crossing</w:t>
            </w:r>
          </w:p>
        </w:tc>
        <w:tc>
          <w:tcPr>
            <w:tcW w:w="971" w:type="dxa"/>
            <w:vAlign w:val="center"/>
          </w:tcPr>
          <w:p w14:paraId="10C179D8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D9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DA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DB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E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DD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DE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Inspect Atmospheric Breakout Tanks – Monthly External In-Service </w:t>
            </w:r>
          </w:p>
        </w:tc>
        <w:tc>
          <w:tcPr>
            <w:tcW w:w="971" w:type="dxa"/>
            <w:vAlign w:val="center"/>
          </w:tcPr>
          <w:p w14:paraId="10C179DF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9E0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E1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E2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EA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E4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E5" w14:textId="7777777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Inspect Atmospheric Breakout Tanks – API 653 External In-Service </w:t>
            </w:r>
          </w:p>
        </w:tc>
        <w:tc>
          <w:tcPr>
            <w:tcW w:w="971" w:type="dxa"/>
            <w:vAlign w:val="center"/>
          </w:tcPr>
          <w:p w14:paraId="10C179E6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9E7" w14:textId="7777777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E8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E9" w14:textId="777777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642C4C3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368EBA7F" w14:textId="2E6BF8D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103.04      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8881C3A" w14:textId="77777777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AC7080">
              <w:rPr>
                <w:rFonts w:ascii="Arial" w:hAnsi="Arial" w:cs="Arial"/>
                <w:color w:val="000000"/>
                <w:sz w:val="20"/>
              </w:rPr>
              <w:t>Inspect Atmospheric Breakout Tanks – API 653 Out of</w:t>
            </w:r>
          </w:p>
          <w:p w14:paraId="1C955DB9" w14:textId="48AFCF3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AC7080">
              <w:rPr>
                <w:rFonts w:ascii="Arial" w:hAnsi="Arial" w:cs="Arial"/>
                <w:color w:val="000000"/>
                <w:sz w:val="20"/>
              </w:rPr>
              <w:t>Service</w:t>
            </w:r>
          </w:p>
        </w:tc>
        <w:tc>
          <w:tcPr>
            <w:tcW w:w="971" w:type="dxa"/>
            <w:vAlign w:val="center"/>
          </w:tcPr>
          <w:p w14:paraId="293955E7" w14:textId="79BC925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7A154A4" w14:textId="2E8F370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338C343" w14:textId="473F2AB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53A7B735" w14:textId="235FD49B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F1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EB" w14:textId="775F7030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EC" w14:textId="712E6F1C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FF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Overfill Protective Devices – Manual Testing</w:t>
            </w:r>
          </w:p>
        </w:tc>
        <w:tc>
          <w:tcPr>
            <w:tcW w:w="971" w:type="dxa"/>
            <w:vAlign w:val="center"/>
          </w:tcPr>
          <w:p w14:paraId="10C179ED" w14:textId="73F5083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9EE" w14:textId="73DFFC7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EF" w14:textId="586F600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F0" w14:textId="0C49697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F8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F2" w14:textId="220A9D8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F3" w14:textId="3C7F319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Pressurized Breakout Tanks – External Inspection</w:t>
            </w:r>
          </w:p>
        </w:tc>
        <w:tc>
          <w:tcPr>
            <w:tcW w:w="971" w:type="dxa"/>
            <w:vAlign w:val="center"/>
          </w:tcPr>
          <w:p w14:paraId="10C179F4" w14:textId="2EAA867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9F5" w14:textId="58EE145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F6" w14:textId="38F28F0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F7" w14:textId="06D4854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9FF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9F9" w14:textId="3AB9D95D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9FA" w14:textId="4A155A2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Repair Pressurized Breakout Tanks</w:t>
            </w:r>
          </w:p>
        </w:tc>
        <w:tc>
          <w:tcPr>
            <w:tcW w:w="971" w:type="dxa"/>
            <w:vAlign w:val="center"/>
          </w:tcPr>
          <w:p w14:paraId="10C179FB" w14:textId="616FF56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9FC" w14:textId="4DFB8C4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9FD" w14:textId="2C4D37DB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9FE" w14:textId="3B68B37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0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00" w14:textId="136C4390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103.09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01" w14:textId="69F39E37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Non-Destructive Testing of Welds</w:t>
            </w:r>
          </w:p>
        </w:tc>
        <w:tc>
          <w:tcPr>
            <w:tcW w:w="971" w:type="dxa"/>
            <w:vAlign w:val="center"/>
          </w:tcPr>
          <w:p w14:paraId="10C17A02" w14:textId="72C59D3E" w:rsidR="00AC7080" w:rsidRPr="006E52C4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E67D5C">
              <w:rPr>
                <w:rFonts w:ascii="Arial" w:hAnsi="Arial" w:cs="Arial"/>
                <w:sz w:val="20"/>
              </w:rPr>
              <w:t>1:</w:t>
            </w:r>
            <w:r w:rsidR="006E52C4" w:rsidRPr="00E67D5C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10C17A03" w14:textId="2E49F15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04" w14:textId="2F2661F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05" w14:textId="065F5C8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0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07" w14:textId="1F7FD6C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103.11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08" w14:textId="5F15749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Damage Prevention During Excavation Activities</w:t>
            </w:r>
          </w:p>
        </w:tc>
        <w:tc>
          <w:tcPr>
            <w:tcW w:w="971" w:type="dxa"/>
            <w:vAlign w:val="center"/>
          </w:tcPr>
          <w:p w14:paraId="10C17A09" w14:textId="42EB43A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0A" w14:textId="327B940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0B" w14:textId="2CF8587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0C" w14:textId="7B379C9B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1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0E" w14:textId="7E7F785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103.12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0F" w14:textId="3C3C7A4D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Inspection Activities – Welding on Pipeline System</w:t>
            </w:r>
          </w:p>
        </w:tc>
        <w:tc>
          <w:tcPr>
            <w:tcW w:w="971" w:type="dxa"/>
            <w:vAlign w:val="center"/>
          </w:tcPr>
          <w:p w14:paraId="10C17A10" w14:textId="059EA86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AC7080">
              <w:rPr>
                <w:rFonts w:ascii="Arial" w:hAnsi="Arial" w:cs="Arial"/>
                <w:sz w:val="20"/>
              </w:rPr>
              <w:t>1:0</w:t>
            </w:r>
          </w:p>
        </w:tc>
        <w:tc>
          <w:tcPr>
            <w:tcW w:w="1282" w:type="dxa"/>
            <w:vAlign w:val="center"/>
          </w:tcPr>
          <w:p w14:paraId="10C17A11" w14:textId="7F59268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12" w14:textId="386BD32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13" w14:textId="65A4CDF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1B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15" w14:textId="24B2424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103.13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16" w14:textId="1F2FF0C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Inspection Activities – Non-Destructive Testing</w:t>
            </w:r>
          </w:p>
        </w:tc>
        <w:tc>
          <w:tcPr>
            <w:tcW w:w="971" w:type="dxa"/>
            <w:vAlign w:val="center"/>
          </w:tcPr>
          <w:p w14:paraId="10C17A17" w14:textId="52C53D0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18" w14:textId="0A6BCC8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19" w14:textId="3861053B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1A" w14:textId="7BAC868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2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1C" w14:textId="22F3BD2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103.14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1D" w14:textId="6CC4E67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Conduct DOT Pipeline Pressure Tests </w:t>
            </w:r>
          </w:p>
        </w:tc>
        <w:tc>
          <w:tcPr>
            <w:tcW w:w="971" w:type="dxa"/>
            <w:vAlign w:val="center"/>
          </w:tcPr>
          <w:p w14:paraId="10C17A1E" w14:textId="0298B11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1F" w14:textId="0E5BFAF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20" w14:textId="2A27674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21" w14:textId="628EFFA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2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23" w14:textId="6AABF97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103.15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24" w14:textId="009465D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CPM Leak Detection</w:t>
            </w:r>
          </w:p>
        </w:tc>
        <w:tc>
          <w:tcPr>
            <w:tcW w:w="971" w:type="dxa"/>
            <w:vAlign w:val="center"/>
          </w:tcPr>
          <w:p w14:paraId="10C17A25" w14:textId="7159C1E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26" w14:textId="32C6688C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27" w14:textId="6CEF2B6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28" w14:textId="4F4379F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3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2A" w14:textId="5A56CEA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2B" w14:textId="09A585C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Buried Pipe When Exposed</w:t>
            </w:r>
          </w:p>
        </w:tc>
        <w:tc>
          <w:tcPr>
            <w:tcW w:w="971" w:type="dxa"/>
            <w:vAlign w:val="center"/>
          </w:tcPr>
          <w:p w14:paraId="10C17A2C" w14:textId="39A6775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2D" w14:textId="5615151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2E" w14:textId="35802AD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2F" w14:textId="5C3AE45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3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31" w14:textId="6845E3A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32" w14:textId="7970D3C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Measure Damage on Pipe – Manual Measurement</w:t>
            </w:r>
          </w:p>
        </w:tc>
        <w:tc>
          <w:tcPr>
            <w:tcW w:w="971" w:type="dxa"/>
            <w:vAlign w:val="center"/>
          </w:tcPr>
          <w:p w14:paraId="10C17A33" w14:textId="5F40CAA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34" w14:textId="695A66F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35" w14:textId="7BB365DA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36" w14:textId="0EEAFF0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3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38" w14:textId="0B59CBC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39" w14:textId="3103BF9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Measure Wall Thickness of Pipe – Ultrasonic Measurement</w:t>
            </w:r>
          </w:p>
        </w:tc>
        <w:tc>
          <w:tcPr>
            <w:tcW w:w="971" w:type="dxa"/>
            <w:vAlign w:val="center"/>
          </w:tcPr>
          <w:p w14:paraId="10C17A3A" w14:textId="27D6EF9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3B" w14:textId="2272C5B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3C" w14:textId="4109339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3D" w14:textId="1DE23D6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45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3F" w14:textId="618DF44E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104.04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40" w14:textId="044EBB51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Place and Maintain Permanent Line Markers</w:t>
            </w:r>
          </w:p>
        </w:tc>
        <w:tc>
          <w:tcPr>
            <w:tcW w:w="971" w:type="dxa"/>
            <w:vAlign w:val="center"/>
          </w:tcPr>
          <w:p w14:paraId="10C17A41" w14:textId="300F020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E67D5C">
              <w:rPr>
                <w:rFonts w:ascii="Arial" w:hAnsi="Arial" w:cs="Arial"/>
                <w:sz w:val="20"/>
              </w:rPr>
              <w:t>1:</w:t>
            </w:r>
            <w:r w:rsidR="000821AD" w:rsidRPr="00E67D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10C17A42" w14:textId="11595D4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43" w14:textId="6BC67E3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44" w14:textId="201BB22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4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46" w14:textId="71352D6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47" w14:textId="04DCE90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 Surface Conditions of Right-of-Way</w:t>
            </w:r>
          </w:p>
        </w:tc>
        <w:tc>
          <w:tcPr>
            <w:tcW w:w="971" w:type="dxa"/>
            <w:vAlign w:val="center"/>
          </w:tcPr>
          <w:p w14:paraId="10C17A48" w14:textId="2AE7309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49" w14:textId="3E706BC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4A" w14:textId="24B7759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4B" w14:textId="7DE2647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5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4D" w14:textId="3A16205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lastRenderedPageBreak/>
              <w:t>104.06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4E" w14:textId="13792F3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Inspection Following Blasting </w:t>
            </w:r>
          </w:p>
        </w:tc>
        <w:tc>
          <w:tcPr>
            <w:tcW w:w="971" w:type="dxa"/>
            <w:vAlign w:val="center"/>
          </w:tcPr>
          <w:p w14:paraId="10C17A4F" w14:textId="68B08E1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50" w14:textId="53FD808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51" w14:textId="0C6930C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52" w14:textId="6C7405F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5A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54" w14:textId="1C83197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55" w14:textId="36FC99F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DOT Inspection of Valves </w:t>
            </w:r>
          </w:p>
        </w:tc>
        <w:tc>
          <w:tcPr>
            <w:tcW w:w="971" w:type="dxa"/>
            <w:vAlign w:val="center"/>
          </w:tcPr>
          <w:p w14:paraId="10C17A56" w14:textId="5A2DFD5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57" w14:textId="007E35D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58" w14:textId="2A2E438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59" w14:textId="44EEE99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61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5B" w14:textId="0C23653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5C" w14:textId="3A134E9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Moving In-Service Pipe </w:t>
            </w:r>
          </w:p>
        </w:tc>
        <w:tc>
          <w:tcPr>
            <w:tcW w:w="971" w:type="dxa"/>
            <w:vAlign w:val="center"/>
          </w:tcPr>
          <w:p w14:paraId="10C17A5D" w14:textId="1B513B4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5E" w14:textId="3B19789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5F" w14:textId="6023D82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60" w14:textId="4FB9209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68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62" w14:textId="5AC1968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63" w14:textId="5D8E117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Inspection of Clearance of Existing Pipe to Underground Structures</w:t>
            </w:r>
          </w:p>
        </w:tc>
        <w:tc>
          <w:tcPr>
            <w:tcW w:w="971" w:type="dxa"/>
            <w:vAlign w:val="center"/>
          </w:tcPr>
          <w:p w14:paraId="10C17A64" w14:textId="203DC7BE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65" w14:textId="7CD2469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66" w14:textId="5028414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67" w14:textId="1D36CF7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6F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69" w14:textId="6D6029F7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104.10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6A" w14:textId="3E091AD8" w:rsidR="00AC7080" w:rsidRPr="00E67D5C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E67D5C">
              <w:rPr>
                <w:rFonts w:ascii="Arial" w:hAnsi="Arial" w:cs="Arial"/>
                <w:color w:val="000000"/>
                <w:sz w:val="20"/>
              </w:rPr>
              <w:t>Inspection of Support Structures on Existing Aboveground Components</w:t>
            </w:r>
          </w:p>
        </w:tc>
        <w:tc>
          <w:tcPr>
            <w:tcW w:w="971" w:type="dxa"/>
            <w:vAlign w:val="center"/>
          </w:tcPr>
          <w:p w14:paraId="10C17A6B" w14:textId="0C01044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E67D5C">
              <w:rPr>
                <w:rFonts w:ascii="Arial" w:hAnsi="Arial" w:cs="Arial"/>
                <w:sz w:val="20"/>
              </w:rPr>
              <w:t>1:</w:t>
            </w:r>
            <w:r w:rsidR="000821AD" w:rsidRPr="00E67D5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10C17A6C" w14:textId="25FFD39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6D" w14:textId="3ACA82E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6E" w14:textId="1B10C4F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7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70" w14:textId="524E25E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104.11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0C17A71" w14:textId="273E43A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Backfilling an Excavation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C17A72" w14:textId="70BAD33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73" w14:textId="6F40A0D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74" w14:textId="2739B53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75" w14:textId="779961E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7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77" w14:textId="0C42BEA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0C17A78" w14:textId="540A916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AA0994">
              <w:rPr>
                <w:rFonts w:ascii="Arial" w:hAnsi="Arial" w:cs="Arial"/>
                <w:color w:val="000000"/>
                <w:sz w:val="20"/>
              </w:rPr>
              <w:t>Composite Sleeve Application - ClockSpring®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0C17A79" w14:textId="2DE5AE5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</w:t>
            </w: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282" w:type="dxa"/>
            <w:vAlign w:val="center"/>
          </w:tcPr>
          <w:p w14:paraId="10C17A7A" w14:textId="644BFE0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7B" w14:textId="578E6A8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7C" w14:textId="1D9C324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8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7E" w14:textId="759CDB7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7F" w14:textId="1FD8A45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General Pipeline Repair – Full Encirclement Sleeve </w:t>
            </w:r>
          </w:p>
        </w:tc>
        <w:tc>
          <w:tcPr>
            <w:tcW w:w="971" w:type="dxa"/>
            <w:vAlign w:val="center"/>
          </w:tcPr>
          <w:p w14:paraId="10C17A80" w14:textId="352BA22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81" w14:textId="6FAEB67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82" w14:textId="0281D82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83" w14:textId="32FB815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8B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85" w14:textId="59AF3E72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86" w14:textId="1C66B62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General Pipeline Repair – Component Replacement</w:t>
            </w:r>
          </w:p>
        </w:tc>
        <w:tc>
          <w:tcPr>
            <w:tcW w:w="971" w:type="dxa"/>
            <w:vAlign w:val="center"/>
          </w:tcPr>
          <w:p w14:paraId="10C17A87" w14:textId="2326E45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88" w14:textId="0C974B7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89" w14:textId="7ED0618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8A" w14:textId="65BB336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9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8C" w14:textId="0FC723F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8D" w14:textId="3950E7A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General Pipeline Repair – Stoppling</w:t>
            </w:r>
          </w:p>
        </w:tc>
        <w:tc>
          <w:tcPr>
            <w:tcW w:w="971" w:type="dxa"/>
            <w:vAlign w:val="center"/>
          </w:tcPr>
          <w:p w14:paraId="10C17A8E" w14:textId="04EEC4A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8F" w14:textId="688DD1D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90" w14:textId="777CC39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91" w14:textId="5FC47B9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9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93" w14:textId="742F906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104.16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0C17A94" w14:textId="7997AA3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General Pipeline Repair – Hot Tap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C17A95" w14:textId="549A9B4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A96" w14:textId="49DCF81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97" w14:textId="1887E16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98" w14:textId="592ED1B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A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9A" w14:textId="200E21A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104.17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C17A9B" w14:textId="3DAC102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9C2A48">
              <w:rPr>
                <w:rFonts w:ascii="Arial" w:hAnsi="Arial" w:cs="Arial"/>
                <w:color w:val="000000"/>
                <w:sz w:val="20"/>
              </w:rPr>
              <w:t>Evacuation of Liquids from Pipe Using Inert Gas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10C17A9C" w14:textId="23E8B3C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9D" w14:textId="6217136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9E" w14:textId="51551E1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9F" w14:textId="12D2122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A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A1" w14:textId="37354CD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104.18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0C17AA2" w14:textId="2717447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12795C">
              <w:rPr>
                <w:rFonts w:ascii="Arial" w:hAnsi="Arial" w:cs="Arial"/>
                <w:color w:val="000000"/>
                <w:sz w:val="20"/>
              </w:rPr>
              <w:t>Evacuation of Liquids from Pipe Using Liquid Flammable Gas</w:t>
            </w:r>
          </w:p>
        </w:tc>
        <w:tc>
          <w:tcPr>
            <w:tcW w:w="971" w:type="dxa"/>
            <w:vAlign w:val="center"/>
          </w:tcPr>
          <w:p w14:paraId="10C17AA3" w14:textId="2BEA16F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A4" w14:textId="1D531C7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A5" w14:textId="4966CFD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A6" w14:textId="0FE3F4D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A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A8" w14:textId="5BFCE4D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104.19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0C17AA9" w14:textId="62F743E2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Evacuation of </w:t>
            </w:r>
            <w:r>
              <w:rPr>
                <w:rFonts w:ascii="Arial" w:hAnsi="Arial" w:cs="Arial"/>
                <w:color w:val="000000"/>
                <w:sz w:val="20"/>
              </w:rPr>
              <w:t>Liquids from Pipe</w:t>
            </w:r>
          </w:p>
        </w:tc>
        <w:tc>
          <w:tcPr>
            <w:tcW w:w="971" w:type="dxa"/>
            <w:vAlign w:val="center"/>
          </w:tcPr>
          <w:p w14:paraId="10C17AAA" w14:textId="284FC0D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AB" w14:textId="5D63753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AC" w14:textId="0AA9A8F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AD" w14:textId="58AF668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B5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AF" w14:textId="7D95036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104.20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B0" w14:textId="47ED1BF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Safe Disconnecting of Abandoned Pipeline Facilities</w:t>
            </w:r>
          </w:p>
        </w:tc>
        <w:tc>
          <w:tcPr>
            <w:tcW w:w="971" w:type="dxa"/>
            <w:vAlign w:val="center"/>
          </w:tcPr>
          <w:p w14:paraId="10C17AB1" w14:textId="157F1A2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1:3</w:t>
            </w:r>
          </w:p>
        </w:tc>
        <w:tc>
          <w:tcPr>
            <w:tcW w:w="1282" w:type="dxa"/>
            <w:vAlign w:val="center"/>
          </w:tcPr>
          <w:p w14:paraId="10C17AB2" w14:textId="35FB8F1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B3" w14:textId="7CCFDCFA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B4" w14:textId="378ED52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B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B6" w14:textId="6E185C0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104.21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B7" w14:textId="64358F5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Welding on Existing Pipeline Systems</w:t>
            </w:r>
          </w:p>
        </w:tc>
        <w:tc>
          <w:tcPr>
            <w:tcW w:w="971" w:type="dxa"/>
            <w:vAlign w:val="center"/>
          </w:tcPr>
          <w:p w14:paraId="10C17AB8" w14:textId="0FE96E7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1:0</w:t>
            </w:r>
          </w:p>
        </w:tc>
        <w:tc>
          <w:tcPr>
            <w:tcW w:w="1282" w:type="dxa"/>
            <w:vAlign w:val="center"/>
          </w:tcPr>
          <w:p w14:paraId="10C17AB9" w14:textId="4328F0CC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BA" w14:textId="72BCED7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BB" w14:textId="57AEF5CB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C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BD" w14:textId="6871254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104.22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BE" w14:textId="7725CF2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Locate Pipeline</w:t>
            </w:r>
          </w:p>
        </w:tc>
        <w:tc>
          <w:tcPr>
            <w:tcW w:w="971" w:type="dxa"/>
            <w:vAlign w:val="center"/>
          </w:tcPr>
          <w:p w14:paraId="10C17ABF" w14:textId="418C9EE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C0" w14:textId="0A9F941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C1" w14:textId="52D6226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C2" w14:textId="1150EBC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CA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vAlign w:val="center"/>
          </w:tcPr>
          <w:p w14:paraId="10C17AC4" w14:textId="719F8F7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104.23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vAlign w:val="center"/>
          </w:tcPr>
          <w:p w14:paraId="10C17AC5" w14:textId="2E2E539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Temporary Marking of Pipeline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C17AC6" w14:textId="1502409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10C17AC7" w14:textId="2F3D255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10C17AC8" w14:textId="767ABB0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10C17AC9" w14:textId="5C8B935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D1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17ACB" w14:textId="6103742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104.24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C17ACC" w14:textId="4E5D5F4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7708CD">
              <w:rPr>
                <w:rFonts w:ascii="Arial" w:hAnsi="Arial" w:cs="Arial"/>
                <w:color w:val="000000"/>
                <w:sz w:val="20"/>
              </w:rPr>
              <w:t>Installation/Use of Vapor Barriers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7ACD" w14:textId="342CEDA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7ACE" w14:textId="0C84405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7ACF" w14:textId="0C126D9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17AD0" w14:textId="2194B57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7D5C" w:rsidRPr="00B71E65" w14:paraId="69C61DCF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80BAA" w14:textId="68E5D2DD" w:rsidR="00E67D5C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104.25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043C0C" w14:textId="2065DEA0" w:rsidR="00E67D5C" w:rsidRPr="007708CD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Joining of Pipe/Tubing – Threaded Fitting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502F" w14:textId="459085A0" w:rsidR="00E67D5C" w:rsidRPr="00C5655E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0DAEA" w14:textId="273A3ABE" w:rsidR="00E67D5C" w:rsidRPr="00C5655E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138F" w14:textId="209A9564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A128B" w14:textId="03CE483B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7D5C" w:rsidRPr="00B71E65" w14:paraId="3082F2E4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0CF16" w14:textId="713A4BDB" w:rsidR="00E67D5C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104.26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A54F77" w14:textId="64D2252F" w:rsidR="00E67D5C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Joining of Pipe – Flange-Gasket Assembly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6537" w14:textId="01258EBA" w:rsidR="00E67D5C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D8C8" w14:textId="391E0A10" w:rsidR="00E67D5C" w:rsidRPr="00C5655E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366A" w14:textId="2CEA1CF5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65E78" w14:textId="2D33559E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67D5C" w:rsidRPr="00B71E65" w14:paraId="1617E317" w14:textId="77777777" w:rsidTr="00AC7080">
        <w:trPr>
          <w:trHeight w:val="389"/>
          <w:jc w:val="center"/>
        </w:trPr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9261D" w14:textId="3D63596F" w:rsidR="00E67D5C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104.27</w:t>
            </w:r>
          </w:p>
        </w:tc>
        <w:tc>
          <w:tcPr>
            <w:tcW w:w="51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97CDDF" w14:textId="530461EE" w:rsidR="00E67D5C" w:rsidRDefault="00E67D5C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Operate and Maintain Closure Devices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CBB7" w14:textId="5B79C819" w:rsidR="00E67D5C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EDF2" w14:textId="5386FDE3" w:rsidR="00E67D5C" w:rsidRPr="00C5655E" w:rsidRDefault="00E67D5C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14D1" w14:textId="1BAF20DB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41DF" w14:textId="29E2BB27" w:rsidR="00E67D5C" w:rsidRPr="00C5655E" w:rsidRDefault="00E67D5C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76ADB3D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402FE74B" w14:textId="2EC39E1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08C909BB" w14:textId="57B1EEE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Provide Security for Pipeline Facilities</w:t>
            </w:r>
          </w:p>
        </w:tc>
        <w:tc>
          <w:tcPr>
            <w:tcW w:w="971" w:type="dxa"/>
            <w:vAlign w:val="center"/>
          </w:tcPr>
          <w:p w14:paraId="23870A7A" w14:textId="7C7482B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bCs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0EA99F00" w14:textId="22F04A8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C456AB7" w14:textId="3E6A691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2E1BAC4C" w14:textId="65A6101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D8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D2" w14:textId="62D6CDE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D3" w14:textId="531CEF6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Monitor by Remote Security Devices</w:t>
            </w:r>
          </w:p>
        </w:tc>
        <w:tc>
          <w:tcPr>
            <w:tcW w:w="971" w:type="dxa"/>
            <w:vAlign w:val="center"/>
          </w:tcPr>
          <w:p w14:paraId="10C17AD4" w14:textId="1E20284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D5" w14:textId="3620D50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D6" w14:textId="003E2E7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D7" w14:textId="7E356E5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DF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D9" w14:textId="4429447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DA" w14:textId="5EEC644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Breakout Tanks Static Protection – Line Velocity</w:t>
            </w:r>
          </w:p>
        </w:tc>
        <w:tc>
          <w:tcPr>
            <w:tcW w:w="971" w:type="dxa"/>
            <w:vAlign w:val="center"/>
          </w:tcPr>
          <w:p w14:paraId="10C17ADB" w14:textId="79676D9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DC" w14:textId="19A0AF5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DD" w14:textId="18FECE5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DE" w14:textId="651DD2B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E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E0" w14:textId="5D06B36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E1" w14:textId="49E4547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Overfill Protective Devices – Knowledge of Tank Level Alarms</w:t>
            </w:r>
          </w:p>
        </w:tc>
        <w:tc>
          <w:tcPr>
            <w:tcW w:w="971" w:type="dxa"/>
            <w:vAlign w:val="center"/>
          </w:tcPr>
          <w:p w14:paraId="10C17AE2" w14:textId="41CFF55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E3" w14:textId="786928D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E4" w14:textId="3EE4413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E5" w14:textId="5995A5C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E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E7" w14:textId="7B146C8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E8" w14:textId="71C0609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Overfill Protective Devices – Response to Tank Level Alarms</w:t>
            </w:r>
          </w:p>
        </w:tc>
        <w:tc>
          <w:tcPr>
            <w:tcW w:w="971" w:type="dxa"/>
            <w:vAlign w:val="center"/>
          </w:tcPr>
          <w:p w14:paraId="10C17AE9" w14:textId="28F4196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EA" w14:textId="4B58F63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EB" w14:textId="51A5935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EC" w14:textId="61DD1FA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F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EE" w14:textId="42FF93FD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EF" w14:textId="00C03CF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Operations of Pipeline System –  Start Pipeline </w:t>
            </w:r>
          </w:p>
        </w:tc>
        <w:tc>
          <w:tcPr>
            <w:tcW w:w="971" w:type="dxa"/>
            <w:vAlign w:val="center"/>
          </w:tcPr>
          <w:p w14:paraId="10C17AF0" w14:textId="011F31D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F1" w14:textId="068EE05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F2" w14:textId="75EA355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F3" w14:textId="58013FF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AFB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F5" w14:textId="328FF6F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F6" w14:textId="0847DE7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Normal Shutdown from Normally Controlling Location</w:t>
            </w:r>
          </w:p>
        </w:tc>
        <w:tc>
          <w:tcPr>
            <w:tcW w:w="971" w:type="dxa"/>
            <w:vAlign w:val="center"/>
          </w:tcPr>
          <w:p w14:paraId="10C17AF7" w14:textId="34D001B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F8" w14:textId="406D6A6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AF9" w14:textId="3DBEFD2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AFA" w14:textId="6274B6A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0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AFC" w14:textId="1C256A8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105.10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AFD" w14:textId="170EA88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Normal Shutdown from Location Not Normally Controlling</w:t>
            </w:r>
          </w:p>
        </w:tc>
        <w:tc>
          <w:tcPr>
            <w:tcW w:w="971" w:type="dxa"/>
            <w:vAlign w:val="center"/>
          </w:tcPr>
          <w:p w14:paraId="10C17AFE" w14:textId="16AE71C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AFF" w14:textId="4B2CF0CE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00" w14:textId="3B7D7EC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01" w14:textId="6C19282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0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03" w14:textId="14E68F6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lastRenderedPageBreak/>
              <w:t>105.11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04" w14:textId="57732DFB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Emergency Pipeline Shutdown</w:t>
            </w:r>
          </w:p>
        </w:tc>
        <w:tc>
          <w:tcPr>
            <w:tcW w:w="971" w:type="dxa"/>
            <w:vAlign w:val="center"/>
          </w:tcPr>
          <w:p w14:paraId="10C17B05" w14:textId="430F95AC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06" w14:textId="08EA4A2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07" w14:textId="47F5FAAA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08" w14:textId="6CEE816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1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0A" w14:textId="183CBB6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105.12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0B" w14:textId="292FCE58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Emergency Station Shut-In</w:t>
            </w:r>
          </w:p>
        </w:tc>
        <w:tc>
          <w:tcPr>
            <w:tcW w:w="971" w:type="dxa"/>
            <w:vAlign w:val="center"/>
          </w:tcPr>
          <w:p w14:paraId="10C17B0C" w14:textId="2492FA0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0D" w14:textId="1793027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0E" w14:textId="6801E8B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0F" w14:textId="79B462B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1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11" w14:textId="79F2FBD7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12" w14:textId="3A484AD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Operations of Pipeline System – Unit Adjustment </w:t>
            </w:r>
          </w:p>
        </w:tc>
        <w:tc>
          <w:tcPr>
            <w:tcW w:w="971" w:type="dxa"/>
            <w:vAlign w:val="center"/>
          </w:tcPr>
          <w:p w14:paraId="10C17B13" w14:textId="1CEEABE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14" w14:textId="7BA6440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15" w14:textId="2E7F403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16" w14:textId="4B5794C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1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18" w14:textId="226D04A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19" w14:textId="7BE35F3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Operations of Pipeline System – Tank Management </w:t>
            </w:r>
          </w:p>
        </w:tc>
        <w:tc>
          <w:tcPr>
            <w:tcW w:w="971" w:type="dxa"/>
            <w:vAlign w:val="center"/>
          </w:tcPr>
          <w:p w14:paraId="10C17B1A" w14:textId="0680AFF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1B" w14:textId="2C53FFC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1C" w14:textId="6B68C8C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1D" w14:textId="1D6AB9F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25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1F" w14:textId="16D5A6B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20" w14:textId="41966B1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Operations of Pipeline System – Monitor Communications </w:t>
            </w:r>
          </w:p>
        </w:tc>
        <w:tc>
          <w:tcPr>
            <w:tcW w:w="971" w:type="dxa"/>
            <w:vAlign w:val="center"/>
          </w:tcPr>
          <w:p w14:paraId="10C17B21" w14:textId="177E37A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22" w14:textId="5CD4F97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23" w14:textId="0CCB1EA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24" w14:textId="48D4628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2C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26" w14:textId="1E76A63E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27" w14:textId="7AD6334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Monitor Leak Detection and Line Integrity</w:t>
            </w:r>
          </w:p>
        </w:tc>
        <w:tc>
          <w:tcPr>
            <w:tcW w:w="971" w:type="dxa"/>
            <w:vAlign w:val="center"/>
          </w:tcPr>
          <w:p w14:paraId="10C17B28" w14:textId="743DE41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29" w14:textId="6A3A324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2A" w14:textId="7E0CBA9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2B" w14:textId="22868A5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33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2D" w14:textId="13C5B39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2E" w14:textId="7EF8DEB3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Monitor Flow Rates</w:t>
            </w:r>
          </w:p>
        </w:tc>
        <w:tc>
          <w:tcPr>
            <w:tcW w:w="971" w:type="dxa"/>
            <w:vAlign w:val="center"/>
          </w:tcPr>
          <w:p w14:paraId="10C17B2F" w14:textId="6F2355A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30" w14:textId="6AB2D0F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31" w14:textId="77A2B91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32" w14:textId="4BAF00F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3A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34" w14:textId="6BAFA08C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35" w14:textId="1F8DA8E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Maintain Pressures Within Allowable Limits</w:t>
            </w:r>
          </w:p>
        </w:tc>
        <w:tc>
          <w:tcPr>
            <w:tcW w:w="971" w:type="dxa"/>
            <w:vAlign w:val="center"/>
          </w:tcPr>
          <w:p w14:paraId="10C17B36" w14:textId="6496A05D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37" w14:textId="7FD9859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38" w14:textId="01017B11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39" w14:textId="05215B1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41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3B" w14:textId="623422A1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105.19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3C" w14:textId="60E568B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 xml:space="preserve">Operations of Pipeline System – Manually or Remotely Open or Close Valves </w:t>
            </w:r>
          </w:p>
        </w:tc>
        <w:tc>
          <w:tcPr>
            <w:tcW w:w="971" w:type="dxa"/>
            <w:vAlign w:val="center"/>
          </w:tcPr>
          <w:p w14:paraId="10C17B3D" w14:textId="7306E48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3E" w14:textId="134FBED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3F" w14:textId="50AE3E1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40" w14:textId="4F935517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48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42" w14:textId="0B1C1662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105.20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43" w14:textId="3DAECF9D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Operations of Pipeline System – Operating Pressure Test</w:t>
            </w:r>
          </w:p>
        </w:tc>
        <w:tc>
          <w:tcPr>
            <w:tcW w:w="971" w:type="dxa"/>
            <w:vAlign w:val="center"/>
          </w:tcPr>
          <w:p w14:paraId="10C17B44" w14:textId="4AB335D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45" w14:textId="07147C6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46" w14:textId="4DA2E31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47" w14:textId="57C71276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4F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49" w14:textId="65BB26A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105.21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4A" w14:textId="61BF01A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Operate Pressure Relieving Devices for Launching and Receiving Facilities</w:t>
            </w:r>
          </w:p>
        </w:tc>
        <w:tc>
          <w:tcPr>
            <w:tcW w:w="971" w:type="dxa"/>
            <w:vAlign w:val="center"/>
          </w:tcPr>
          <w:p w14:paraId="10C17B4B" w14:textId="71DE16C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B4C" w14:textId="271C6F4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4D" w14:textId="7B2FD010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4E" w14:textId="1958261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56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50" w14:textId="4401EFC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106.01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51" w14:textId="4941E18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Maintain and Repair Power Valve Actuators</w:t>
            </w:r>
          </w:p>
        </w:tc>
        <w:tc>
          <w:tcPr>
            <w:tcW w:w="971" w:type="dxa"/>
            <w:vAlign w:val="center"/>
          </w:tcPr>
          <w:p w14:paraId="10C17B52" w14:textId="160D9364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B53" w14:textId="154C588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54" w14:textId="15C1E01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55" w14:textId="28A7AF6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5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57" w14:textId="1D60E11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106.02</w:t>
            </w:r>
          </w:p>
        </w:tc>
        <w:tc>
          <w:tcPr>
            <w:tcW w:w="5130" w:type="dxa"/>
            <w:tcBorders>
              <w:left w:val="nil"/>
            </w:tcBorders>
            <w:shd w:val="clear" w:color="auto" w:fill="auto"/>
            <w:vAlign w:val="center"/>
          </w:tcPr>
          <w:p w14:paraId="10C17B58" w14:textId="276F9015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F46B0D">
              <w:rPr>
                <w:rFonts w:ascii="Arial" w:hAnsi="Arial" w:cs="Arial"/>
                <w:color w:val="000000"/>
                <w:sz w:val="20"/>
              </w:rPr>
              <w:t>Preventive Maintenance Valve Actuators</w:t>
            </w:r>
          </w:p>
        </w:tc>
        <w:tc>
          <w:tcPr>
            <w:tcW w:w="971" w:type="dxa"/>
            <w:vAlign w:val="center"/>
          </w:tcPr>
          <w:p w14:paraId="10C17B59" w14:textId="12ED091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B5A" w14:textId="41BFFAE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5B" w14:textId="60AB81D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5C" w14:textId="65342AF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64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5E" w14:textId="0001EED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106.03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5F" w14:textId="4874B712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Lubricate Valves</w:t>
            </w:r>
          </w:p>
        </w:tc>
        <w:tc>
          <w:tcPr>
            <w:tcW w:w="971" w:type="dxa"/>
            <w:vAlign w:val="center"/>
          </w:tcPr>
          <w:p w14:paraId="10C17B60" w14:textId="574A9A45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B61" w14:textId="68D85ABE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62" w14:textId="4FCF8B6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63" w14:textId="2938B845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6B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65" w14:textId="4386E62A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106.04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66" w14:textId="24091DED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Repair Valves</w:t>
            </w:r>
          </w:p>
        </w:tc>
        <w:tc>
          <w:tcPr>
            <w:tcW w:w="971" w:type="dxa"/>
            <w:vAlign w:val="center"/>
          </w:tcPr>
          <w:p w14:paraId="10C17B67" w14:textId="500AAEEA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1:2</w:t>
            </w:r>
          </w:p>
        </w:tc>
        <w:tc>
          <w:tcPr>
            <w:tcW w:w="1282" w:type="dxa"/>
            <w:vAlign w:val="center"/>
          </w:tcPr>
          <w:p w14:paraId="10C17B68" w14:textId="24FBF893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69" w14:textId="3A66649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6A" w14:textId="4A8DF89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72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6C" w14:textId="323C336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106.05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6D" w14:textId="7CD66F0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Overpressure Safety Devices – Inspect, Test and Calibrate Relief Valves</w:t>
            </w:r>
          </w:p>
        </w:tc>
        <w:tc>
          <w:tcPr>
            <w:tcW w:w="971" w:type="dxa"/>
            <w:vAlign w:val="center"/>
          </w:tcPr>
          <w:p w14:paraId="10C17B6E" w14:textId="230408B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6F" w14:textId="5FE0D79C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70" w14:textId="0B11A743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71" w14:textId="3202D89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79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73" w14:textId="23814A0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106.06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74" w14:textId="4895AF6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Overpressure Safety Devices – Pressure Switches and Transmitters</w:t>
            </w:r>
          </w:p>
        </w:tc>
        <w:tc>
          <w:tcPr>
            <w:tcW w:w="971" w:type="dxa"/>
            <w:vAlign w:val="center"/>
          </w:tcPr>
          <w:p w14:paraId="10C17B75" w14:textId="2884D316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76" w14:textId="1EFB42B2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77" w14:textId="64F3C27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78" w14:textId="45889322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80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7A" w14:textId="5D0C8CF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106.07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7B" w14:textId="4A626BCF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Pressure Limiting Devices – Inspect, Test and Calibrate Mechanical Control Valves</w:t>
            </w:r>
          </w:p>
        </w:tc>
        <w:tc>
          <w:tcPr>
            <w:tcW w:w="971" w:type="dxa"/>
            <w:vAlign w:val="center"/>
          </w:tcPr>
          <w:p w14:paraId="10C17B7C" w14:textId="656E13FF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7D" w14:textId="294E492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7E" w14:textId="662A95B8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7F" w14:textId="3848D47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87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81" w14:textId="51AB6B86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106.08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82" w14:textId="5CD26069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Pressure Limiting Devices – Inspect, Test and Calibrate Electronic/Electro-Hydraulic Control Loops</w:t>
            </w:r>
          </w:p>
        </w:tc>
        <w:tc>
          <w:tcPr>
            <w:tcW w:w="971" w:type="dxa"/>
            <w:vAlign w:val="center"/>
          </w:tcPr>
          <w:p w14:paraId="10C17B83" w14:textId="04E5748B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bCs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84" w14:textId="38DD7C29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85" w14:textId="6DFF84F4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86" w14:textId="306C9C0D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8E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88" w14:textId="651D4F00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106.09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89" w14:textId="57700A64" w:rsidR="00AC7080" w:rsidRPr="00C5655E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5655E">
              <w:rPr>
                <w:rFonts w:ascii="Arial" w:hAnsi="Arial" w:cs="Arial"/>
                <w:color w:val="000000"/>
                <w:sz w:val="20"/>
              </w:rPr>
              <w:t>Overfill Protective Devices – Repair and Replacement</w:t>
            </w:r>
          </w:p>
        </w:tc>
        <w:tc>
          <w:tcPr>
            <w:tcW w:w="971" w:type="dxa"/>
            <w:vAlign w:val="center"/>
          </w:tcPr>
          <w:p w14:paraId="10C17B8A" w14:textId="6C30C59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8B" w14:textId="070DDCF8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8C" w14:textId="4DE585FE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8D" w14:textId="360B287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10C17B95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10C17B8F" w14:textId="7ED11477" w:rsidR="00AC7080" w:rsidRPr="000821AD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0821AD">
              <w:rPr>
                <w:rFonts w:ascii="Arial" w:hAnsi="Arial" w:cs="Arial"/>
                <w:color w:val="000000"/>
                <w:sz w:val="20"/>
              </w:rPr>
              <w:t xml:space="preserve">106.10     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0C17B90" w14:textId="6F6E9F0C" w:rsidR="00AC7080" w:rsidRPr="000821AD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0821AD">
              <w:rPr>
                <w:rFonts w:ascii="Arial" w:hAnsi="Arial" w:cs="Arial"/>
                <w:color w:val="000000"/>
                <w:sz w:val="20"/>
              </w:rPr>
              <w:t>Inspect and Maintain Pressure Vacuum Vents</w:t>
            </w:r>
          </w:p>
        </w:tc>
        <w:tc>
          <w:tcPr>
            <w:tcW w:w="971" w:type="dxa"/>
            <w:vAlign w:val="center"/>
          </w:tcPr>
          <w:p w14:paraId="10C17B91" w14:textId="6B5BE0D1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0821AD">
              <w:rPr>
                <w:rFonts w:ascii="Arial" w:hAnsi="Arial" w:cs="Arial"/>
                <w:sz w:val="20"/>
              </w:rPr>
              <w:t>1:1</w:t>
            </w:r>
          </w:p>
        </w:tc>
        <w:tc>
          <w:tcPr>
            <w:tcW w:w="1282" w:type="dxa"/>
            <w:vAlign w:val="center"/>
          </w:tcPr>
          <w:p w14:paraId="10C17B92" w14:textId="4BA43E3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10C17B93" w14:textId="7B872C9F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14:paraId="10C17B94" w14:textId="30B3DA79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5655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55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535A">
              <w:rPr>
                <w:rFonts w:ascii="Arial" w:hAnsi="Arial" w:cs="Arial"/>
                <w:sz w:val="20"/>
              </w:rPr>
            </w:r>
            <w:r w:rsidR="008C535A">
              <w:rPr>
                <w:rFonts w:ascii="Arial" w:hAnsi="Arial" w:cs="Arial"/>
                <w:sz w:val="20"/>
              </w:rPr>
              <w:fldChar w:fldCharType="separate"/>
            </w:r>
            <w:r w:rsidRPr="00C565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C7080" w:rsidRPr="00B71E65" w14:paraId="56F4BE5D" w14:textId="77777777" w:rsidTr="00AC7080">
        <w:trPr>
          <w:trHeight w:val="389"/>
          <w:jc w:val="center"/>
        </w:trPr>
        <w:tc>
          <w:tcPr>
            <w:tcW w:w="857" w:type="dxa"/>
            <w:tcBorders>
              <w:right w:val="nil"/>
            </w:tcBorders>
            <w:vAlign w:val="center"/>
          </w:tcPr>
          <w:p w14:paraId="2B333F97" w14:textId="043CEF45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681B42B8" w14:textId="278E6447" w:rsidR="00AC7080" w:rsidRPr="00AC7080" w:rsidRDefault="00AC7080" w:rsidP="00AC7080">
            <w:pPr>
              <w:spacing w:line="240" w:lineRule="exact"/>
              <w:rPr>
                <w:rFonts w:ascii="Arial" w:hAnsi="Arial" w:cs="Arial"/>
                <w:color w:val="000000"/>
                <w:sz w:val="20"/>
                <w:highlight w:val="yellow"/>
              </w:rPr>
            </w:pPr>
          </w:p>
        </w:tc>
        <w:tc>
          <w:tcPr>
            <w:tcW w:w="971" w:type="dxa"/>
            <w:vAlign w:val="center"/>
          </w:tcPr>
          <w:p w14:paraId="78DB75E4" w14:textId="1224C460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16469EFF" w14:textId="586E14E7" w:rsidR="00AC7080" w:rsidRPr="00C5655E" w:rsidRDefault="00AC7080" w:rsidP="00AC7080">
            <w:pPr>
              <w:spacing w:line="240" w:lineRule="exact"/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5" w:type="dxa"/>
            <w:vAlign w:val="center"/>
          </w:tcPr>
          <w:p w14:paraId="2E4E5728" w14:textId="0BCD276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29" w:type="dxa"/>
            <w:vAlign w:val="center"/>
          </w:tcPr>
          <w:p w14:paraId="0E726E0E" w14:textId="307499CC" w:rsidR="00AC7080" w:rsidRPr="00C5655E" w:rsidRDefault="00AC7080" w:rsidP="00AC7080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0C17B96" w14:textId="77777777" w:rsidR="000C17E4" w:rsidRPr="00B71E65" w:rsidRDefault="000C17E4">
      <w:pPr>
        <w:rPr>
          <w:rFonts w:ascii="Arial" w:hAnsi="Arial" w:cs="Arial"/>
          <w:sz w:val="20"/>
          <w:u w:val="single"/>
        </w:rPr>
        <w:sectPr w:rsidR="000C17E4" w:rsidRPr="00B71E65" w:rsidSect="008401D1">
          <w:footerReference w:type="default" r:id="rId12"/>
          <w:footerReference w:type="first" r:id="rId13"/>
          <w:pgSz w:w="12240" w:h="15840" w:code="1"/>
          <w:pgMar w:top="1080" w:right="1080" w:bottom="1080" w:left="1080" w:header="576" w:footer="576" w:gutter="0"/>
          <w:cols w:space="720"/>
          <w:titlePg/>
        </w:sect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190"/>
      </w:tblGrid>
      <w:tr w:rsidR="00CC4F66" w:rsidRPr="008A5CA3" w14:paraId="10C17B9A" w14:textId="77777777" w:rsidTr="004C46E1">
        <w:trPr>
          <w:trHeight w:val="5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7B97" w14:textId="77777777" w:rsidR="00CC4F66" w:rsidRPr="008A5CA3" w:rsidRDefault="00CC4F66" w:rsidP="004C46E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>Contractor Name: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17B98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  <w:p w14:paraId="10C17B99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C4F66" w:rsidRPr="008A5CA3" w14:paraId="10C17B9E" w14:textId="77777777" w:rsidTr="004C46E1">
        <w:trPr>
          <w:trHeight w:val="5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7B9B" w14:textId="77777777" w:rsidR="00CC4F66" w:rsidRPr="008A5CA3" w:rsidRDefault="00CC4F66" w:rsidP="004C46E1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 xml:space="preserve">By: </w:t>
            </w:r>
            <w:r w:rsidRPr="008A5CA3">
              <w:rPr>
                <w:rFonts w:ascii="Arial" w:hAnsi="Arial" w:cs="Arial"/>
                <w:b/>
                <w:i/>
                <w:sz w:val="20"/>
              </w:rPr>
              <w:t>(print and sign)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17B9C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  <w:p w14:paraId="10C17B9D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CC4F66" w:rsidRPr="008A5CA3" w14:paraId="10C17BA1" w14:textId="77777777" w:rsidTr="004C46E1">
        <w:trPr>
          <w:trHeight w:val="54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7B9F" w14:textId="77777777" w:rsidR="00CC4F66" w:rsidRPr="008A5CA3" w:rsidRDefault="00CC4F66" w:rsidP="004C46E1">
            <w:pPr>
              <w:ind w:left="810" w:hanging="81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17BA0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C4F66" w:rsidRPr="008A5CA3" w14:paraId="10C17BA5" w14:textId="77777777" w:rsidTr="00652F2A">
        <w:trPr>
          <w:trHeight w:val="25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17BA2" w14:textId="77777777" w:rsidR="00CC4F66" w:rsidRPr="008A5CA3" w:rsidRDefault="00CC4F66" w:rsidP="004C46E1">
            <w:pPr>
              <w:ind w:left="810" w:hanging="810"/>
              <w:jc w:val="right"/>
              <w:rPr>
                <w:rFonts w:ascii="Arial" w:hAnsi="Arial" w:cs="Arial"/>
                <w:b/>
                <w:sz w:val="20"/>
              </w:rPr>
            </w:pPr>
            <w:r w:rsidRPr="008A5CA3">
              <w:rPr>
                <w:rFonts w:ascii="Arial" w:hAnsi="Arial" w:cs="Arial"/>
                <w:b/>
                <w:sz w:val="20"/>
              </w:rPr>
              <w:t>Phone Number: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17BA3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</w:p>
          <w:p w14:paraId="10C17BA4" w14:textId="77777777" w:rsidR="00CC4F66" w:rsidRPr="008A5CA3" w:rsidRDefault="00CC4F66" w:rsidP="00CC4F66">
            <w:pPr>
              <w:ind w:left="810" w:hanging="810"/>
              <w:jc w:val="center"/>
              <w:rPr>
                <w:rFonts w:ascii="Arial" w:hAnsi="Arial" w:cs="Arial"/>
                <w:sz w:val="20"/>
              </w:rPr>
            </w:pPr>
            <w:r w:rsidRPr="008A5CA3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8A5C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CA3">
              <w:rPr>
                <w:rFonts w:ascii="Arial" w:hAnsi="Arial" w:cs="Arial"/>
                <w:sz w:val="20"/>
              </w:rPr>
            </w:r>
            <w:r w:rsidRPr="008A5CA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8A5CA3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14:paraId="10C17BA6" w14:textId="77777777" w:rsidR="00CC4F66" w:rsidRDefault="00CC4F66">
      <w:pPr>
        <w:rPr>
          <w:rFonts w:ascii="Arial" w:hAnsi="Arial" w:cs="Arial"/>
          <w:sz w:val="20"/>
          <w:u w:val="single"/>
        </w:rPr>
      </w:pPr>
    </w:p>
    <w:p w14:paraId="10C17BA7" w14:textId="77777777" w:rsidR="000F2274" w:rsidRDefault="000F1E62" w:rsidP="000F2274">
      <w:pPr>
        <w:ind w:left="-90" w:firstLine="180"/>
        <w:rPr>
          <w:rFonts w:ascii="Arial" w:hAnsi="Arial" w:cs="Arial"/>
          <w:sz w:val="20"/>
        </w:rPr>
      </w:pPr>
      <w:r w:rsidRPr="00B71E65">
        <w:rPr>
          <w:rFonts w:ascii="Arial" w:hAnsi="Arial" w:cs="Arial"/>
          <w:b/>
          <w:sz w:val="20"/>
          <w:u w:val="single"/>
        </w:rPr>
        <w:lastRenderedPageBreak/>
        <w:t>Questions on OQ?</w:t>
      </w:r>
      <w:r w:rsidR="00FA3427" w:rsidRPr="00B71E65">
        <w:rPr>
          <w:rFonts w:ascii="Arial" w:hAnsi="Arial" w:cs="Arial"/>
          <w:sz w:val="20"/>
        </w:rPr>
        <w:t>:</w:t>
      </w:r>
      <w:r w:rsidRPr="00B71E65">
        <w:rPr>
          <w:rFonts w:ascii="Arial" w:hAnsi="Arial" w:cs="Arial"/>
          <w:sz w:val="20"/>
        </w:rPr>
        <w:t xml:space="preserve"> </w:t>
      </w:r>
      <w:r w:rsidR="00C75053" w:rsidRPr="00B71E65">
        <w:rPr>
          <w:rFonts w:ascii="Arial" w:hAnsi="Arial" w:cs="Arial"/>
          <w:sz w:val="20"/>
        </w:rPr>
        <w:t xml:space="preserve">  </w:t>
      </w:r>
      <w:r w:rsidR="000F2274">
        <w:rPr>
          <w:rFonts w:ascii="Arial" w:hAnsi="Arial" w:cs="Arial"/>
          <w:sz w:val="20"/>
        </w:rPr>
        <w:t>Contact the OQ Department, #OQ Department (</w:t>
      </w:r>
      <w:hyperlink r:id="rId14" w:history="1">
        <w:r w:rsidR="000F2274" w:rsidRPr="00F838B8">
          <w:rPr>
            <w:rStyle w:val="Hyperlink"/>
            <w:rFonts w:ascii="Arial" w:hAnsi="Arial" w:cs="Arial"/>
            <w:sz w:val="20"/>
          </w:rPr>
          <w:t>OQDepartment@kindermorgan.com</w:t>
        </w:r>
      </w:hyperlink>
      <w:r w:rsidR="000F2274">
        <w:rPr>
          <w:rFonts w:ascii="Arial" w:hAnsi="Arial" w:cs="Arial"/>
          <w:sz w:val="20"/>
        </w:rPr>
        <w:t>)</w:t>
      </w:r>
    </w:p>
    <w:p w14:paraId="10C17BA8" w14:textId="77777777" w:rsidR="00FA3427" w:rsidRPr="00B71E65" w:rsidRDefault="00FA3427">
      <w:pPr>
        <w:rPr>
          <w:rFonts w:ascii="Arial" w:hAnsi="Arial" w:cs="Arial"/>
          <w:sz w:val="20"/>
        </w:rPr>
      </w:pPr>
    </w:p>
    <w:p w14:paraId="10C17BA9" w14:textId="77777777" w:rsidR="00FA3427" w:rsidRPr="00DD2818" w:rsidRDefault="00FA3427" w:rsidP="00C05613">
      <w:pPr>
        <w:ind w:left="90"/>
        <w:rPr>
          <w:rFonts w:ascii="Arial" w:hAnsi="Arial" w:cs="Arial"/>
          <w:sz w:val="20"/>
          <w:u w:val="single"/>
        </w:rPr>
      </w:pPr>
      <w:r w:rsidRPr="00DD2818">
        <w:rPr>
          <w:rFonts w:ascii="Arial" w:hAnsi="Arial" w:cs="Arial"/>
          <w:b/>
          <w:sz w:val="20"/>
          <w:u w:val="single"/>
        </w:rPr>
        <w:t>Distribution and Retention</w:t>
      </w:r>
      <w:r w:rsidRPr="00DD2818">
        <w:rPr>
          <w:rFonts w:ascii="Arial" w:hAnsi="Arial" w:cs="Arial"/>
          <w:sz w:val="20"/>
        </w:rPr>
        <w:t>:  This form is a project record, wheth</w:t>
      </w:r>
      <w:r w:rsidR="00C05613" w:rsidRPr="00DD2818">
        <w:rPr>
          <w:rFonts w:ascii="Arial" w:hAnsi="Arial" w:cs="Arial"/>
          <w:sz w:val="20"/>
        </w:rPr>
        <w:t xml:space="preserve">er or not OQ Covered Tasks are </w:t>
      </w:r>
      <w:r w:rsidRPr="00DD2818">
        <w:rPr>
          <w:rFonts w:ascii="Arial" w:hAnsi="Arial" w:cs="Arial"/>
          <w:sz w:val="20"/>
        </w:rPr>
        <w:t xml:space="preserve">performed, </w:t>
      </w:r>
      <w:r w:rsidR="00DD2818" w:rsidRPr="00DD2818">
        <w:rPr>
          <w:rFonts w:ascii="Arial" w:hAnsi="Arial" w:cs="Arial"/>
          <w:sz w:val="20"/>
        </w:rPr>
        <w:t xml:space="preserve">it </w:t>
      </w:r>
      <w:r w:rsidRPr="00DD2818">
        <w:rPr>
          <w:rFonts w:ascii="Arial" w:hAnsi="Arial" w:cs="Arial"/>
          <w:sz w:val="20"/>
        </w:rPr>
        <w:t>must be included in the bid or contractor selection process</w:t>
      </w:r>
      <w:r w:rsidR="00533243">
        <w:rPr>
          <w:rFonts w:ascii="Arial" w:hAnsi="Arial" w:cs="Arial"/>
          <w:sz w:val="20"/>
        </w:rPr>
        <w:t xml:space="preserve"> </w:t>
      </w:r>
      <w:r w:rsidR="00C05613" w:rsidRPr="00DD2818">
        <w:rPr>
          <w:rFonts w:ascii="Arial" w:hAnsi="Arial" w:cs="Arial"/>
          <w:sz w:val="20"/>
        </w:rPr>
        <w:t xml:space="preserve">and become part of the final </w:t>
      </w:r>
      <w:r w:rsidRPr="00DD2818">
        <w:rPr>
          <w:rFonts w:ascii="Arial" w:hAnsi="Arial" w:cs="Arial"/>
          <w:sz w:val="20"/>
        </w:rPr>
        <w:t xml:space="preserve">contract file.  There is a five-year record retention rule for all OQ documentation. </w:t>
      </w:r>
    </w:p>
    <w:sectPr w:rsidR="00FA3427" w:rsidRPr="00DD2818" w:rsidSect="00D225C0">
      <w:type w:val="continuous"/>
      <w:pgSz w:w="12240" w:h="15840" w:code="1"/>
      <w:pgMar w:top="1008" w:right="1008" w:bottom="1008" w:left="72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AC1FC" w14:textId="77777777" w:rsidR="008C535A" w:rsidRDefault="008C535A">
      <w:r>
        <w:separator/>
      </w:r>
    </w:p>
  </w:endnote>
  <w:endnote w:type="continuationSeparator" w:id="0">
    <w:p w14:paraId="10DD05CC" w14:textId="77777777" w:rsidR="008C535A" w:rsidRDefault="008C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7BB0" w14:textId="58CF104B" w:rsidR="00E67D5C" w:rsidRDefault="00E67D5C" w:rsidP="00CC4F66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Fonts w:ascii="Arial" w:hAnsi="Arial" w:cs="Arial"/>
        <w:sz w:val="16"/>
        <w:szCs w:val="16"/>
      </w:rPr>
    </w:pPr>
    <w:r w:rsidRPr="00B27F9F">
      <w:rPr>
        <w:rFonts w:ascii="Arial" w:hAnsi="Arial" w:cs="Arial"/>
        <w:sz w:val="16"/>
        <w:szCs w:val="16"/>
      </w:rPr>
      <w:t>SAF020-OQE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B06EF">
      <w:rPr>
        <w:rStyle w:val="PageNumber"/>
        <w:rFonts w:ascii="Arial" w:hAnsi="Arial" w:cs="Arial"/>
        <w:noProof/>
        <w:sz w:val="16"/>
        <w:szCs w:val="16"/>
      </w:rPr>
      <w:t>4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B06EF">
      <w:rPr>
        <w:rStyle w:val="PageNumber"/>
        <w:rFonts w:ascii="Arial" w:hAnsi="Arial" w:cs="Arial"/>
        <w:noProof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  <w:p w14:paraId="0CCD2370" w14:textId="77777777" w:rsidR="00E67D5C" w:rsidRPr="00CC4F66" w:rsidRDefault="00E67D5C" w:rsidP="00CC4F66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7BB1" w14:textId="1FC805ED" w:rsidR="00E67D5C" w:rsidRDefault="00E67D5C" w:rsidP="00CB3C86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SAF020-OQE2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B06EF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8B06EF">
      <w:rPr>
        <w:rStyle w:val="PageNumber"/>
        <w:rFonts w:ascii="Arial" w:hAnsi="Arial" w:cs="Arial"/>
        <w:noProof/>
        <w:sz w:val="16"/>
        <w:szCs w:val="16"/>
      </w:rPr>
      <w:t>5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</w:p>
  <w:p w14:paraId="5A566396" w14:textId="77777777" w:rsidR="00E67D5C" w:rsidRPr="002A36A0" w:rsidRDefault="00E67D5C" w:rsidP="00CB3C86">
    <w:pPr>
      <w:pStyle w:val="Footer"/>
      <w:tabs>
        <w:tab w:val="clear" w:pos="4320"/>
        <w:tab w:val="clear" w:pos="8640"/>
        <w:tab w:val="center" w:pos="4500"/>
        <w:tab w:val="right" w:pos="9180"/>
      </w:tabs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C281" w14:textId="77777777" w:rsidR="008C535A" w:rsidRDefault="008C535A">
      <w:r>
        <w:separator/>
      </w:r>
    </w:p>
  </w:footnote>
  <w:footnote w:type="continuationSeparator" w:id="0">
    <w:p w14:paraId="18559F69" w14:textId="77777777" w:rsidR="008C535A" w:rsidRDefault="008C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BEE"/>
    <w:multiLevelType w:val="singleLevel"/>
    <w:tmpl w:val="1A1AAE8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47"/>
    <w:rsid w:val="00007FC4"/>
    <w:rsid w:val="00010368"/>
    <w:rsid w:val="00014B45"/>
    <w:rsid w:val="000526E5"/>
    <w:rsid w:val="00061F21"/>
    <w:rsid w:val="00072AD5"/>
    <w:rsid w:val="00073A09"/>
    <w:rsid w:val="00075CB0"/>
    <w:rsid w:val="000821AD"/>
    <w:rsid w:val="000B56FB"/>
    <w:rsid w:val="000C17E4"/>
    <w:rsid w:val="000D0CE1"/>
    <w:rsid w:val="000D603B"/>
    <w:rsid w:val="000F1E62"/>
    <w:rsid w:val="000F2274"/>
    <w:rsid w:val="00113DCC"/>
    <w:rsid w:val="001143B5"/>
    <w:rsid w:val="0012795C"/>
    <w:rsid w:val="001A1433"/>
    <w:rsid w:val="001C0154"/>
    <w:rsid w:val="001C6411"/>
    <w:rsid w:val="001D0109"/>
    <w:rsid w:val="001D5D8C"/>
    <w:rsid w:val="001E1D41"/>
    <w:rsid w:val="001F54A4"/>
    <w:rsid w:val="001F55E7"/>
    <w:rsid w:val="0023345A"/>
    <w:rsid w:val="00263789"/>
    <w:rsid w:val="00263A4C"/>
    <w:rsid w:val="00275E35"/>
    <w:rsid w:val="00287F43"/>
    <w:rsid w:val="002A3157"/>
    <w:rsid w:val="002A3A1C"/>
    <w:rsid w:val="00305F7C"/>
    <w:rsid w:val="003267A1"/>
    <w:rsid w:val="0033518E"/>
    <w:rsid w:val="00335461"/>
    <w:rsid w:val="00342069"/>
    <w:rsid w:val="00343797"/>
    <w:rsid w:val="00352467"/>
    <w:rsid w:val="0035552C"/>
    <w:rsid w:val="003638A6"/>
    <w:rsid w:val="00373D01"/>
    <w:rsid w:val="003806A4"/>
    <w:rsid w:val="003A02FA"/>
    <w:rsid w:val="003C7CCE"/>
    <w:rsid w:val="003D0F0F"/>
    <w:rsid w:val="003E3108"/>
    <w:rsid w:val="003F6467"/>
    <w:rsid w:val="004023BA"/>
    <w:rsid w:val="00407258"/>
    <w:rsid w:val="00411561"/>
    <w:rsid w:val="0041724B"/>
    <w:rsid w:val="004463FD"/>
    <w:rsid w:val="00450C07"/>
    <w:rsid w:val="0046390E"/>
    <w:rsid w:val="00463D4D"/>
    <w:rsid w:val="004C46E1"/>
    <w:rsid w:val="004C63CF"/>
    <w:rsid w:val="00505D89"/>
    <w:rsid w:val="00533243"/>
    <w:rsid w:val="00553A39"/>
    <w:rsid w:val="00570BF5"/>
    <w:rsid w:val="005A58EB"/>
    <w:rsid w:val="005B69C0"/>
    <w:rsid w:val="005C2DCE"/>
    <w:rsid w:val="005E05B3"/>
    <w:rsid w:val="005F7BDF"/>
    <w:rsid w:val="006012D2"/>
    <w:rsid w:val="006133B9"/>
    <w:rsid w:val="00615D28"/>
    <w:rsid w:val="00621D66"/>
    <w:rsid w:val="00632048"/>
    <w:rsid w:val="00632FCB"/>
    <w:rsid w:val="0064083B"/>
    <w:rsid w:val="00651FE2"/>
    <w:rsid w:val="00652F2A"/>
    <w:rsid w:val="00665608"/>
    <w:rsid w:val="00685779"/>
    <w:rsid w:val="006C40CA"/>
    <w:rsid w:val="006D58DD"/>
    <w:rsid w:val="006E0517"/>
    <w:rsid w:val="006E1062"/>
    <w:rsid w:val="006E394A"/>
    <w:rsid w:val="006E52C4"/>
    <w:rsid w:val="006F02F7"/>
    <w:rsid w:val="00701C5B"/>
    <w:rsid w:val="00705FE9"/>
    <w:rsid w:val="00734E6A"/>
    <w:rsid w:val="00742336"/>
    <w:rsid w:val="007441F6"/>
    <w:rsid w:val="00763AF1"/>
    <w:rsid w:val="00766A62"/>
    <w:rsid w:val="007708CD"/>
    <w:rsid w:val="007739E9"/>
    <w:rsid w:val="007B2919"/>
    <w:rsid w:val="007D7521"/>
    <w:rsid w:val="007F6558"/>
    <w:rsid w:val="007F6A47"/>
    <w:rsid w:val="00806581"/>
    <w:rsid w:val="0080761B"/>
    <w:rsid w:val="008104FE"/>
    <w:rsid w:val="008401D1"/>
    <w:rsid w:val="00841FA0"/>
    <w:rsid w:val="00845E12"/>
    <w:rsid w:val="00880BDC"/>
    <w:rsid w:val="008854F9"/>
    <w:rsid w:val="008B06EF"/>
    <w:rsid w:val="008C535A"/>
    <w:rsid w:val="008F28DC"/>
    <w:rsid w:val="00924A44"/>
    <w:rsid w:val="009303F3"/>
    <w:rsid w:val="00933BDF"/>
    <w:rsid w:val="0094257B"/>
    <w:rsid w:val="009473F6"/>
    <w:rsid w:val="009A6FD5"/>
    <w:rsid w:val="009B13E5"/>
    <w:rsid w:val="009E0242"/>
    <w:rsid w:val="009E6013"/>
    <w:rsid w:val="00A27082"/>
    <w:rsid w:val="00A43E4F"/>
    <w:rsid w:val="00A5233C"/>
    <w:rsid w:val="00A5260F"/>
    <w:rsid w:val="00A558EA"/>
    <w:rsid w:val="00A725C4"/>
    <w:rsid w:val="00A77CEB"/>
    <w:rsid w:val="00AB580E"/>
    <w:rsid w:val="00AC6275"/>
    <w:rsid w:val="00AC7080"/>
    <w:rsid w:val="00AD3B84"/>
    <w:rsid w:val="00AF2537"/>
    <w:rsid w:val="00AF267B"/>
    <w:rsid w:val="00B010AD"/>
    <w:rsid w:val="00B10D8A"/>
    <w:rsid w:val="00B1335A"/>
    <w:rsid w:val="00B4433A"/>
    <w:rsid w:val="00B6177C"/>
    <w:rsid w:val="00B71E65"/>
    <w:rsid w:val="00B97203"/>
    <w:rsid w:val="00BA6464"/>
    <w:rsid w:val="00BB2407"/>
    <w:rsid w:val="00BB2552"/>
    <w:rsid w:val="00BB4770"/>
    <w:rsid w:val="00BE2D7D"/>
    <w:rsid w:val="00BF48E1"/>
    <w:rsid w:val="00C05613"/>
    <w:rsid w:val="00C279D4"/>
    <w:rsid w:val="00C36E42"/>
    <w:rsid w:val="00C55712"/>
    <w:rsid w:val="00C5655E"/>
    <w:rsid w:val="00C661AA"/>
    <w:rsid w:val="00C75053"/>
    <w:rsid w:val="00C81D23"/>
    <w:rsid w:val="00C9255E"/>
    <w:rsid w:val="00CA2D3F"/>
    <w:rsid w:val="00CB3C86"/>
    <w:rsid w:val="00CB6108"/>
    <w:rsid w:val="00CC4A0A"/>
    <w:rsid w:val="00CC4F66"/>
    <w:rsid w:val="00D1573C"/>
    <w:rsid w:val="00D20B45"/>
    <w:rsid w:val="00D225C0"/>
    <w:rsid w:val="00D23ADC"/>
    <w:rsid w:val="00D241C9"/>
    <w:rsid w:val="00D3135D"/>
    <w:rsid w:val="00D52B18"/>
    <w:rsid w:val="00D53603"/>
    <w:rsid w:val="00D909E0"/>
    <w:rsid w:val="00DA6F81"/>
    <w:rsid w:val="00DD2818"/>
    <w:rsid w:val="00DE05C2"/>
    <w:rsid w:val="00DE413A"/>
    <w:rsid w:val="00DE52A3"/>
    <w:rsid w:val="00DF1CFE"/>
    <w:rsid w:val="00DF4549"/>
    <w:rsid w:val="00E05F79"/>
    <w:rsid w:val="00E42F93"/>
    <w:rsid w:val="00E55CA1"/>
    <w:rsid w:val="00E6100C"/>
    <w:rsid w:val="00E67D5C"/>
    <w:rsid w:val="00E7351E"/>
    <w:rsid w:val="00E9218B"/>
    <w:rsid w:val="00EA309E"/>
    <w:rsid w:val="00EA5E51"/>
    <w:rsid w:val="00EC6B6F"/>
    <w:rsid w:val="00ED56C5"/>
    <w:rsid w:val="00ED7BE7"/>
    <w:rsid w:val="00EF5D73"/>
    <w:rsid w:val="00EF7A15"/>
    <w:rsid w:val="00F02991"/>
    <w:rsid w:val="00F05012"/>
    <w:rsid w:val="00F12B10"/>
    <w:rsid w:val="00F15426"/>
    <w:rsid w:val="00F26A4E"/>
    <w:rsid w:val="00F35CDE"/>
    <w:rsid w:val="00F4517B"/>
    <w:rsid w:val="00F46B0D"/>
    <w:rsid w:val="00F5455F"/>
    <w:rsid w:val="00F551D1"/>
    <w:rsid w:val="00F92EB5"/>
    <w:rsid w:val="00FA3427"/>
    <w:rsid w:val="00FA4D38"/>
    <w:rsid w:val="00FA697B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1791C"/>
  <w15:docId w15:val="{BD3C0E58-0F61-42FB-A764-27A5A272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126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267B"/>
  </w:style>
  <w:style w:type="character" w:styleId="Hyperlink">
    <w:name w:val="Hyperlink"/>
    <w:basedOn w:val="DefaultParagraphFont"/>
    <w:rsid w:val="000C17E4"/>
    <w:rPr>
      <w:color w:val="0000FF"/>
      <w:u w:val="single"/>
    </w:rPr>
  </w:style>
  <w:style w:type="paragraph" w:styleId="BalloonText">
    <w:name w:val="Balloon Text"/>
    <w:basedOn w:val="Normal"/>
    <w:semiHidden/>
    <w:rsid w:val="00DF454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3C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QDepartment@kindermor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94AFBFE78ED418E91264EC9ED5E4D" ma:contentTypeVersion="1" ma:contentTypeDescription="Create a new document." ma:contentTypeScope="" ma:versionID="7ed9b6967014e700ec7c61c32fcc050e">
  <xsd:schema xmlns:xsd="http://www.w3.org/2001/XMLSchema" xmlns:xs="http://www.w3.org/2001/XMLSchema" xmlns:p="http://schemas.microsoft.com/office/2006/metadata/properties" xmlns:ns2="a04b17c0-9649-4607-b180-208ab4b7d2cc" xmlns:ns3="8cbc8e12-3e43-4c75-8a3c-25d4c8b92635" targetNamespace="http://schemas.microsoft.com/office/2006/metadata/properties" ma:root="true" ma:fieldsID="11cb6aa06d65e80841024fe9fc8ab747" ns2:_="" ns3:_="">
    <xsd:import namespace="a04b17c0-9649-4607-b180-208ab4b7d2cc"/>
    <xsd:import namespace="8cbc8e12-3e43-4c75-8a3c-25d4c8b92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b17c0-9649-4607-b180-208ab4b7d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8e12-3e43-4c75-8a3c-25d4c8b92635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c8e12-3e43-4c75-8a3c-25d4c8b92635">E7MVSSCA4Z2Q-425207033-1008</_dlc_DocId>
    <_dlc_DocIdUrl xmlns="8cbc8e12-3e43-4c75-8a3c-25d4c8b92635">
      <Url>http://team/opseng/oq/oq_master_documents/_layouts/15/DocIdRedir.aspx?ID=E7MVSSCA4Z2Q-425207033-1008</Url>
      <Description>E7MVSSCA4Z2Q-425207033-1008</Description>
    </_dlc_DocIdUrl>
  </documentManagement>
</p:properties>
</file>

<file path=customXml/itemProps1.xml><?xml version="1.0" encoding="utf-8"?>
<ds:datastoreItem xmlns:ds="http://schemas.openxmlformats.org/officeDocument/2006/customXml" ds:itemID="{776024FC-1E0A-492B-88B7-4D8480CA9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85245-EFCF-4212-BB1A-1A7D1C384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b17c0-9649-4607-b180-208ab4b7d2cc"/>
    <ds:schemaRef ds:uri="8cbc8e12-3e43-4c75-8a3c-25d4c8b92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B93DE-7F29-4BE9-B5F9-FB420140EC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5D76BD-1D43-4489-B588-105F03BB2D22}">
  <ds:schemaRefs>
    <ds:schemaRef ds:uri="http://schemas.microsoft.com/office/2006/metadata/properties"/>
    <ds:schemaRef ds:uri="http://schemas.microsoft.com/office/infopath/2007/PartnerControls"/>
    <ds:schemaRef ds:uri="8cbc8e12-3e43-4c75-8a3c-25d4c8b92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KN Energy</Company>
  <LinksUpToDate>false</LinksUpToDate>
  <CharactersWithSpaces>12930</CharactersWithSpaces>
  <SharedDoc>false</SharedDoc>
  <HLinks>
    <vt:vector size="6" baseType="variant">
      <vt:variant>
        <vt:i4>327684</vt:i4>
      </vt:variant>
      <vt:variant>
        <vt:i4>529</vt:i4>
      </vt:variant>
      <vt:variant>
        <vt:i4>0</vt:i4>
      </vt:variant>
      <vt:variant>
        <vt:i4>5</vt:i4>
      </vt:variant>
      <vt:variant>
        <vt:lpwstr>mailto:andrea_chamblin@kindermorgan.com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enp-11189</dc:creator>
  <cp:lastModifiedBy>Heppner, Lee</cp:lastModifiedBy>
  <cp:revision>2</cp:revision>
  <cp:lastPrinted>2015-01-15T21:39:00Z</cp:lastPrinted>
  <dcterms:created xsi:type="dcterms:W3CDTF">2025-02-20T22:34:00Z</dcterms:created>
  <dcterms:modified xsi:type="dcterms:W3CDTF">2025-02-20T22:34:00Z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0x010100DC394AFBFE78ED418E91264EC9ED5E4D</vt:lpwstr>
  </property>
  <property fmtid="{D5CDD505-2E9C-101B-9397-08002B2CF9AE}" pid="3" name="_dlc_DocIdItemGuid">
    <vt:lpwstr>edadf4ad-b98e-4ee1-83e1-4a3546ec3fa3</vt:lpwstr>
  </property>
</Properties>
</file>